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8E" w:rsidRPr="00F67EBB" w:rsidRDefault="00ED598E" w:rsidP="00ED598E">
      <w:pPr>
        <w:pBdr>
          <w:bottom w:val="single" w:sz="2" w:space="1" w:color="auto" w:shadow="1"/>
        </w:pBdr>
        <w:jc w:val="both"/>
        <w:rPr>
          <w:sz w:val="28"/>
          <w:szCs w:val="28"/>
          <w:lang w:val="fr-FR"/>
        </w:rPr>
      </w:pPr>
      <w:r w:rsidRPr="00F67EBB">
        <w:rPr>
          <w:sz w:val="28"/>
          <w:szCs w:val="28"/>
          <w:lang w:val="fr-FR"/>
        </w:rPr>
        <w:t xml:space="preserve">2. </w:t>
      </w:r>
      <w:r w:rsidR="00F67EBB" w:rsidRPr="00F67EBB">
        <w:rPr>
          <w:sz w:val="28"/>
          <w:szCs w:val="28"/>
          <w:lang w:val="fr-FR"/>
        </w:rPr>
        <w:t xml:space="preserve">ORIENTATIONS ET DIRECTIVES </w:t>
      </w:r>
    </w:p>
    <w:p w:rsidR="00ED598E" w:rsidRPr="00F67EBB" w:rsidRDefault="00ED598E" w:rsidP="00ED598E">
      <w:pPr>
        <w:jc w:val="both"/>
        <w:rPr>
          <w:lang w:val="fr-FR"/>
        </w:rPr>
      </w:pPr>
    </w:p>
    <w:p w:rsidR="00ED598E" w:rsidRPr="00F67EBB" w:rsidRDefault="00ED598E" w:rsidP="00ED598E">
      <w:pPr>
        <w:jc w:val="both"/>
        <w:rPr>
          <w:lang w:val="fr-FR"/>
        </w:rPr>
      </w:pPr>
    </w:p>
    <w:p w:rsidR="00ED598E" w:rsidRPr="00F67EBB" w:rsidRDefault="00ED598E" w:rsidP="00ED598E">
      <w:pPr>
        <w:jc w:val="both"/>
        <w:rPr>
          <w:b/>
          <w:sz w:val="28"/>
          <w:szCs w:val="28"/>
          <w:lang w:val="fr-FR"/>
        </w:rPr>
      </w:pPr>
      <w:r w:rsidRPr="00F67EBB">
        <w:rPr>
          <w:b/>
          <w:sz w:val="28"/>
          <w:szCs w:val="28"/>
          <w:lang w:val="fr-FR"/>
        </w:rPr>
        <w:t xml:space="preserve">2.1. </w:t>
      </w:r>
      <w:r w:rsidR="00F67EBB" w:rsidRPr="00F67EBB">
        <w:rPr>
          <w:b/>
          <w:sz w:val="28"/>
          <w:szCs w:val="28"/>
          <w:lang w:val="fr-FR"/>
        </w:rPr>
        <w:t>Enquête préliminaire : note</w:t>
      </w:r>
      <w:r w:rsidR="00244167">
        <w:rPr>
          <w:b/>
          <w:sz w:val="28"/>
          <w:szCs w:val="28"/>
          <w:lang w:val="fr-FR"/>
        </w:rPr>
        <w:t>s</w:t>
      </w:r>
      <w:r w:rsidR="00F67EBB" w:rsidRPr="00F67EBB">
        <w:rPr>
          <w:b/>
          <w:sz w:val="28"/>
          <w:szCs w:val="28"/>
          <w:lang w:val="fr-FR"/>
        </w:rPr>
        <w:t xml:space="preserve"> pour </w:t>
      </w:r>
      <w:r w:rsidR="00F67EBB">
        <w:rPr>
          <w:b/>
          <w:sz w:val="28"/>
          <w:szCs w:val="28"/>
          <w:lang w:val="fr-FR"/>
        </w:rPr>
        <w:t>la procédure</w:t>
      </w:r>
    </w:p>
    <w:p w:rsidR="00ED598E" w:rsidRPr="00F67EBB" w:rsidRDefault="00ED598E" w:rsidP="00ED598E">
      <w:pPr>
        <w:jc w:val="both"/>
        <w:rPr>
          <w:lang w:val="fr-FR"/>
        </w:rPr>
      </w:pPr>
    </w:p>
    <w:p w:rsidR="00ED598E" w:rsidRPr="00F67EBB" w:rsidRDefault="00F67EBB" w:rsidP="00ED598E">
      <w:pPr>
        <w:jc w:val="both"/>
        <w:rPr>
          <w:lang w:val="fr-FR"/>
        </w:rPr>
      </w:pPr>
      <w:r w:rsidRPr="00F67EBB">
        <w:rPr>
          <w:lang w:val="fr-FR"/>
        </w:rPr>
        <w:t xml:space="preserve">Père </w:t>
      </w:r>
      <w:r w:rsidR="00ED598E" w:rsidRPr="00F67EBB">
        <w:rPr>
          <w:lang w:val="fr-FR"/>
        </w:rPr>
        <w:t>Francesco CER</w:t>
      </w:r>
      <w:r w:rsidR="00084540">
        <w:rPr>
          <w:lang w:val="fr-FR"/>
        </w:rPr>
        <w:t>E</w:t>
      </w:r>
      <w:r w:rsidR="00ED598E" w:rsidRPr="00F67EBB">
        <w:rPr>
          <w:lang w:val="fr-FR"/>
        </w:rPr>
        <w:t>DA</w:t>
      </w:r>
    </w:p>
    <w:p w:rsidR="00ED598E" w:rsidRPr="00F67EBB" w:rsidRDefault="00F67EBB" w:rsidP="00ED598E">
      <w:pPr>
        <w:jc w:val="both"/>
        <w:rPr>
          <w:i/>
          <w:lang w:val="fr-FR"/>
        </w:rPr>
      </w:pPr>
      <w:r>
        <w:rPr>
          <w:i/>
          <w:lang w:val="fr-FR"/>
        </w:rPr>
        <w:t>V</w:t>
      </w:r>
      <w:r w:rsidRPr="00F67EBB">
        <w:rPr>
          <w:i/>
          <w:lang w:val="fr-FR"/>
        </w:rPr>
        <w:t>icaire du Recteur Majeur</w:t>
      </w:r>
    </w:p>
    <w:p w:rsidR="00ED598E" w:rsidRPr="00F67EBB" w:rsidRDefault="00ED598E" w:rsidP="00ED598E">
      <w:pPr>
        <w:rPr>
          <w:lang w:val="fr-FR"/>
        </w:rPr>
      </w:pPr>
    </w:p>
    <w:p w:rsidR="001C6C60" w:rsidRPr="00545545" w:rsidRDefault="00F67EBB" w:rsidP="00244167">
      <w:pPr>
        <w:pStyle w:val="Didefault"/>
        <w:ind w:firstLine="284"/>
        <w:jc w:val="both"/>
        <w:rPr>
          <w:rFonts w:ascii="Times New Roman" w:hAnsi="Times New Roman" w:cs="Times New Roman"/>
          <w:color w:val="auto"/>
          <w:sz w:val="24"/>
          <w:szCs w:val="24"/>
          <w:lang w:val="fr-FR"/>
        </w:rPr>
      </w:pPr>
      <w:r w:rsidRPr="00545545">
        <w:rPr>
          <w:rFonts w:ascii="Times New Roman" w:hAnsi="Times New Roman" w:cs="Times New Roman"/>
          <w:color w:val="auto"/>
          <w:sz w:val="24"/>
          <w:szCs w:val="24"/>
          <w:lang w:val="fr-FR"/>
        </w:rPr>
        <w:t xml:space="preserve">Fréquemment arrivent au </w:t>
      </w:r>
      <w:r w:rsidR="00244167" w:rsidRPr="00545545">
        <w:rPr>
          <w:rFonts w:ascii="Times New Roman" w:hAnsi="Times New Roman" w:cs="Times New Roman"/>
          <w:color w:val="auto"/>
          <w:sz w:val="24"/>
          <w:szCs w:val="24"/>
          <w:lang w:val="fr-FR"/>
        </w:rPr>
        <w:t>V</w:t>
      </w:r>
      <w:r w:rsidRPr="00545545">
        <w:rPr>
          <w:rFonts w:ascii="Times New Roman" w:hAnsi="Times New Roman" w:cs="Times New Roman"/>
          <w:color w:val="auto"/>
          <w:sz w:val="24"/>
          <w:szCs w:val="24"/>
          <w:lang w:val="fr-FR"/>
        </w:rPr>
        <w:t xml:space="preserve">icaire du Recteur Majeur ou au </w:t>
      </w:r>
      <w:r w:rsidR="00244167" w:rsidRPr="00545545">
        <w:rPr>
          <w:rFonts w:ascii="Times New Roman" w:hAnsi="Times New Roman" w:cs="Times New Roman"/>
          <w:color w:val="auto"/>
          <w:sz w:val="24"/>
          <w:szCs w:val="24"/>
          <w:lang w:val="fr-FR"/>
        </w:rPr>
        <w:t>B</w:t>
      </w:r>
      <w:r w:rsidRPr="00545545">
        <w:rPr>
          <w:rFonts w:ascii="Times New Roman" w:hAnsi="Times New Roman" w:cs="Times New Roman"/>
          <w:color w:val="auto"/>
          <w:sz w:val="24"/>
          <w:szCs w:val="24"/>
          <w:lang w:val="fr-FR"/>
        </w:rPr>
        <w:t xml:space="preserve">ureau </w:t>
      </w:r>
      <w:r w:rsidR="00244167" w:rsidRPr="00545545">
        <w:rPr>
          <w:rFonts w:ascii="Times New Roman" w:hAnsi="Times New Roman" w:cs="Times New Roman"/>
          <w:color w:val="auto"/>
          <w:sz w:val="24"/>
          <w:szCs w:val="24"/>
          <w:lang w:val="fr-FR"/>
        </w:rPr>
        <w:t>J</w:t>
      </w:r>
      <w:r w:rsidRPr="00545545">
        <w:rPr>
          <w:rFonts w:ascii="Times New Roman" w:hAnsi="Times New Roman" w:cs="Times New Roman"/>
          <w:color w:val="auto"/>
          <w:sz w:val="24"/>
          <w:szCs w:val="24"/>
          <w:lang w:val="fr-FR"/>
        </w:rPr>
        <w:t xml:space="preserve">uridique des questions de la part des </w:t>
      </w:r>
      <w:r w:rsidR="00545545" w:rsidRPr="00545545">
        <w:rPr>
          <w:rFonts w:ascii="Times New Roman" w:hAnsi="Times New Roman" w:cs="Times New Roman"/>
          <w:color w:val="auto"/>
          <w:sz w:val="24"/>
          <w:szCs w:val="24"/>
          <w:lang w:val="fr-FR"/>
        </w:rPr>
        <w:t>P</w:t>
      </w:r>
      <w:r w:rsidRPr="00545545">
        <w:rPr>
          <w:rFonts w:ascii="Times New Roman" w:hAnsi="Times New Roman" w:cs="Times New Roman"/>
          <w:color w:val="auto"/>
          <w:sz w:val="24"/>
          <w:szCs w:val="24"/>
          <w:lang w:val="fr-FR"/>
        </w:rPr>
        <w:t xml:space="preserve">rovinciaux ou </w:t>
      </w:r>
      <w:r w:rsidR="00545545" w:rsidRPr="00545545">
        <w:rPr>
          <w:rFonts w:ascii="Times New Roman" w:hAnsi="Times New Roman" w:cs="Times New Roman"/>
          <w:color w:val="auto"/>
          <w:sz w:val="24"/>
          <w:szCs w:val="24"/>
          <w:lang w:val="fr-FR"/>
        </w:rPr>
        <w:t>V</w:t>
      </w:r>
      <w:r w:rsidRPr="00545545">
        <w:rPr>
          <w:rFonts w:ascii="Times New Roman" w:hAnsi="Times New Roman" w:cs="Times New Roman"/>
          <w:color w:val="auto"/>
          <w:sz w:val="24"/>
          <w:szCs w:val="24"/>
          <w:lang w:val="fr-FR"/>
        </w:rPr>
        <w:t xml:space="preserve">icaires </w:t>
      </w:r>
      <w:r w:rsidR="00545545" w:rsidRPr="00545545">
        <w:rPr>
          <w:rFonts w:ascii="Times New Roman" w:hAnsi="Times New Roman" w:cs="Times New Roman"/>
          <w:color w:val="auto"/>
          <w:sz w:val="24"/>
          <w:szCs w:val="24"/>
          <w:lang w:val="fr-FR"/>
        </w:rPr>
        <w:t>P</w:t>
      </w:r>
      <w:r w:rsidRPr="00545545">
        <w:rPr>
          <w:rFonts w:ascii="Times New Roman" w:hAnsi="Times New Roman" w:cs="Times New Roman"/>
          <w:color w:val="auto"/>
          <w:sz w:val="24"/>
          <w:szCs w:val="24"/>
          <w:lang w:val="fr-FR"/>
        </w:rPr>
        <w:t>rovinciaux sur la manière de procéder quand leur parvient une information sur la conduite d’un confrère, relevant de la typologie du délit canonique (</w:t>
      </w:r>
      <w:r w:rsidRPr="00545545">
        <w:rPr>
          <w:rFonts w:ascii="Times New Roman" w:hAnsi="Times New Roman" w:cs="Times New Roman"/>
          <w:i/>
          <w:color w:val="auto"/>
          <w:sz w:val="24"/>
          <w:szCs w:val="24"/>
          <w:lang w:val="fr-FR"/>
        </w:rPr>
        <w:t>crimen</w:t>
      </w:r>
      <w:r w:rsidRPr="00545545">
        <w:rPr>
          <w:rFonts w:ascii="Times New Roman" w:hAnsi="Times New Roman" w:cs="Times New Roman"/>
          <w:color w:val="auto"/>
          <w:sz w:val="24"/>
          <w:szCs w:val="24"/>
          <w:lang w:val="fr-FR"/>
        </w:rPr>
        <w:t>)</w:t>
      </w:r>
      <w:r w:rsidRPr="00545545">
        <w:rPr>
          <w:rFonts w:ascii="Times New Roman" w:hAnsi="Times New Roman"/>
          <w:color w:val="auto"/>
          <w:sz w:val="24"/>
          <w:szCs w:val="24"/>
          <w:u w:color="000000"/>
          <w:lang w:val="fr-FR"/>
        </w:rPr>
        <w:t>.</w:t>
      </w:r>
      <w:r w:rsidR="007B1BE9" w:rsidRPr="00545545">
        <w:rPr>
          <w:rFonts w:ascii="Times New Roman" w:eastAsia="Times New Roman" w:hAnsi="Times New Roman" w:cs="Times New Roman"/>
          <w:color w:val="auto"/>
          <w:sz w:val="24"/>
          <w:szCs w:val="24"/>
          <w:u w:color="000000"/>
          <w:vertAlign w:val="superscript"/>
        </w:rPr>
        <w:footnoteReference w:id="2"/>
      </w:r>
    </w:p>
    <w:p w:rsidR="001C6C60" w:rsidRPr="00F67EBB" w:rsidRDefault="001C6C60" w:rsidP="008C102C">
      <w:pPr>
        <w:pStyle w:val="Didefault"/>
        <w:jc w:val="both"/>
        <w:rPr>
          <w:rFonts w:ascii="Times New Roman" w:eastAsia="Times New Roman" w:hAnsi="Times New Roman" w:cs="Times New Roman"/>
          <w:sz w:val="24"/>
          <w:szCs w:val="24"/>
          <w:u w:color="000000"/>
          <w:lang w:val="fr-FR"/>
        </w:rPr>
      </w:pPr>
    </w:p>
    <w:p w:rsidR="00F67EBB" w:rsidRPr="00545545" w:rsidRDefault="00F67EBB" w:rsidP="00545545">
      <w:pPr>
        <w:pStyle w:val="DidefaultA"/>
        <w:ind w:firstLine="284"/>
        <w:jc w:val="both"/>
        <w:rPr>
          <w:rFonts w:ascii="Times New Roman" w:hAnsi="Times New Roman"/>
          <w:color w:val="auto"/>
          <w:sz w:val="24"/>
          <w:szCs w:val="24"/>
          <w:lang w:val="fr-FR"/>
        </w:rPr>
      </w:pPr>
      <w:r w:rsidRPr="00545545">
        <w:rPr>
          <w:rFonts w:ascii="Times New Roman" w:hAnsi="Times New Roman"/>
          <w:color w:val="auto"/>
          <w:sz w:val="24"/>
          <w:szCs w:val="24"/>
          <w:lang w:val="fr-FR"/>
        </w:rPr>
        <w:t>C’est un bon signe ; en effet, on peut constater que se consolide</w:t>
      </w:r>
      <w:r w:rsidR="00545545" w:rsidRPr="00545545">
        <w:rPr>
          <w:rFonts w:ascii="Times New Roman" w:hAnsi="Times New Roman"/>
          <w:color w:val="auto"/>
          <w:sz w:val="24"/>
          <w:szCs w:val="24"/>
          <w:lang w:val="fr-FR"/>
        </w:rPr>
        <w:t>nt</w:t>
      </w:r>
      <w:r w:rsidRPr="00545545">
        <w:rPr>
          <w:rFonts w:ascii="Times New Roman" w:hAnsi="Times New Roman"/>
          <w:color w:val="auto"/>
          <w:sz w:val="24"/>
          <w:szCs w:val="24"/>
          <w:lang w:val="fr-FR"/>
        </w:rPr>
        <w:t xml:space="preserve"> toujours plus une pratique et une procédure canonique</w:t>
      </w:r>
      <w:r w:rsidR="00545545" w:rsidRPr="00545545">
        <w:rPr>
          <w:rFonts w:ascii="Times New Roman" w:hAnsi="Times New Roman"/>
          <w:color w:val="auto"/>
          <w:sz w:val="24"/>
          <w:szCs w:val="24"/>
          <w:lang w:val="fr-FR"/>
        </w:rPr>
        <w:t>ment</w:t>
      </w:r>
      <w:r w:rsidRPr="00545545">
        <w:rPr>
          <w:rFonts w:ascii="Times New Roman" w:hAnsi="Times New Roman"/>
          <w:color w:val="auto"/>
          <w:sz w:val="24"/>
          <w:szCs w:val="24"/>
          <w:lang w:val="fr-FR"/>
        </w:rPr>
        <w:t xml:space="preserve"> correcte</w:t>
      </w:r>
      <w:r w:rsidR="00545545" w:rsidRPr="00545545">
        <w:rPr>
          <w:rFonts w:ascii="Times New Roman" w:hAnsi="Times New Roman"/>
          <w:color w:val="auto"/>
          <w:sz w:val="24"/>
          <w:szCs w:val="24"/>
          <w:lang w:val="fr-FR"/>
        </w:rPr>
        <w:t>s</w:t>
      </w:r>
      <w:r w:rsidR="008D51CE" w:rsidRPr="00545545">
        <w:rPr>
          <w:rFonts w:ascii="Times New Roman" w:hAnsi="Times New Roman"/>
          <w:color w:val="auto"/>
          <w:sz w:val="24"/>
          <w:szCs w:val="24"/>
          <w:lang w:val="fr-FR"/>
        </w:rPr>
        <w:t xml:space="preserve"> devant </w:t>
      </w:r>
      <w:r w:rsidRPr="00545545">
        <w:rPr>
          <w:rFonts w:ascii="Times New Roman" w:hAnsi="Times New Roman"/>
          <w:color w:val="auto"/>
          <w:sz w:val="24"/>
          <w:szCs w:val="24"/>
          <w:lang w:val="fr-FR"/>
        </w:rPr>
        <w:t xml:space="preserve">une accusation concernant un confrère. Cet aspect aussi fait partie de la culture de la légalité et du sens de </w:t>
      </w:r>
      <w:r w:rsidR="00545545" w:rsidRPr="00545545">
        <w:rPr>
          <w:rFonts w:ascii="Times New Roman" w:hAnsi="Times New Roman"/>
          <w:color w:val="auto"/>
          <w:sz w:val="24"/>
          <w:szCs w:val="24"/>
          <w:lang w:val="fr-FR"/>
        </w:rPr>
        <w:t xml:space="preserve">la </w:t>
      </w:r>
      <w:r w:rsidRPr="00545545">
        <w:rPr>
          <w:rFonts w:ascii="Times New Roman" w:hAnsi="Times New Roman"/>
          <w:color w:val="auto"/>
          <w:sz w:val="24"/>
          <w:szCs w:val="24"/>
          <w:lang w:val="fr-FR"/>
        </w:rPr>
        <w:t xml:space="preserve">justice que, comme </w:t>
      </w:r>
      <w:r w:rsidR="00545545" w:rsidRPr="00545545">
        <w:rPr>
          <w:rFonts w:ascii="Times New Roman" w:hAnsi="Times New Roman"/>
          <w:color w:val="auto"/>
          <w:sz w:val="24"/>
          <w:szCs w:val="24"/>
          <w:lang w:val="fr-FR"/>
        </w:rPr>
        <w:t>S</w:t>
      </w:r>
      <w:r w:rsidRPr="00545545">
        <w:rPr>
          <w:rFonts w:ascii="Times New Roman" w:hAnsi="Times New Roman"/>
          <w:color w:val="auto"/>
          <w:sz w:val="24"/>
          <w:szCs w:val="24"/>
          <w:lang w:val="fr-FR"/>
        </w:rPr>
        <w:t>alésiens, nous sommes toujours appelés à promouvoir.</w:t>
      </w:r>
      <w:r w:rsidR="008D51CE" w:rsidRPr="00545545">
        <w:rPr>
          <w:rFonts w:ascii="Times New Roman" w:hAnsi="Times New Roman"/>
          <w:color w:val="auto"/>
          <w:sz w:val="24"/>
          <w:szCs w:val="24"/>
          <w:lang w:val="fr-FR"/>
        </w:rPr>
        <w:t xml:space="preserve"> Cette procédure s’appelle enquête préliminaire ; elle a pour but de faire la lumière et la vérité </w:t>
      </w:r>
      <w:r w:rsidR="00545545" w:rsidRPr="00545545">
        <w:rPr>
          <w:rFonts w:ascii="Times New Roman" w:hAnsi="Times New Roman"/>
          <w:color w:val="auto"/>
          <w:sz w:val="24"/>
          <w:szCs w:val="24"/>
          <w:lang w:val="fr-FR"/>
        </w:rPr>
        <w:t>face à</w:t>
      </w:r>
      <w:r w:rsidR="008D51CE" w:rsidRPr="00545545">
        <w:rPr>
          <w:rFonts w:ascii="Times New Roman" w:hAnsi="Times New Roman"/>
          <w:color w:val="auto"/>
          <w:sz w:val="24"/>
          <w:szCs w:val="24"/>
          <w:lang w:val="fr-FR"/>
        </w:rPr>
        <w:t xml:space="preserve"> une accusation.</w:t>
      </w:r>
    </w:p>
    <w:p w:rsidR="008C102C" w:rsidRPr="00545545" w:rsidRDefault="008C102C" w:rsidP="008C102C">
      <w:pPr>
        <w:pStyle w:val="DidefaultA"/>
        <w:jc w:val="both"/>
        <w:rPr>
          <w:rFonts w:ascii="Times New Roman" w:hAnsi="Times New Roman"/>
          <w:sz w:val="24"/>
          <w:szCs w:val="24"/>
          <w:lang w:val="fr-FR"/>
        </w:rPr>
      </w:pPr>
    </w:p>
    <w:p w:rsidR="008D51CE" w:rsidRPr="00545545" w:rsidRDefault="008D51CE" w:rsidP="00545545">
      <w:pPr>
        <w:pStyle w:val="DidefaultA"/>
        <w:ind w:firstLine="284"/>
        <w:jc w:val="both"/>
        <w:rPr>
          <w:rFonts w:ascii="Times New Roman" w:eastAsia="Times New Roman" w:hAnsi="Times New Roman" w:cs="Times New Roman"/>
          <w:color w:val="auto"/>
          <w:sz w:val="24"/>
          <w:szCs w:val="24"/>
          <w:lang w:val="fr-FR"/>
        </w:rPr>
      </w:pPr>
      <w:r w:rsidRPr="00545545">
        <w:rPr>
          <w:rFonts w:ascii="Times New Roman" w:eastAsia="Times New Roman" w:hAnsi="Times New Roman" w:cs="Times New Roman"/>
          <w:color w:val="auto"/>
          <w:sz w:val="24"/>
          <w:szCs w:val="24"/>
          <w:lang w:val="fr-FR"/>
        </w:rPr>
        <w:t xml:space="preserve">L’enquête préliminaire prévue dans ces cas-là </w:t>
      </w:r>
      <w:r w:rsidR="00545545" w:rsidRPr="00545545">
        <w:rPr>
          <w:rFonts w:ascii="Times New Roman" w:eastAsia="Times New Roman" w:hAnsi="Times New Roman" w:cs="Times New Roman"/>
          <w:color w:val="auto"/>
          <w:sz w:val="24"/>
          <w:szCs w:val="24"/>
          <w:lang w:val="fr-FR"/>
        </w:rPr>
        <w:t>est régie</w:t>
      </w:r>
      <w:r w:rsidRPr="00545545">
        <w:rPr>
          <w:rFonts w:ascii="Times New Roman" w:eastAsia="Times New Roman" w:hAnsi="Times New Roman" w:cs="Times New Roman"/>
          <w:color w:val="auto"/>
          <w:sz w:val="24"/>
          <w:szCs w:val="24"/>
          <w:lang w:val="fr-FR"/>
        </w:rPr>
        <w:t xml:space="preserve"> par les canons 1717-1719 du </w:t>
      </w:r>
      <w:r w:rsidR="00545545" w:rsidRPr="00545545">
        <w:rPr>
          <w:rFonts w:ascii="Times New Roman" w:eastAsia="Times New Roman" w:hAnsi="Times New Roman" w:cs="Times New Roman"/>
          <w:color w:val="auto"/>
          <w:sz w:val="24"/>
          <w:szCs w:val="24"/>
          <w:lang w:val="fr-FR"/>
        </w:rPr>
        <w:t>C</w:t>
      </w:r>
      <w:r w:rsidRPr="00545545">
        <w:rPr>
          <w:rFonts w:ascii="Times New Roman" w:eastAsia="Times New Roman" w:hAnsi="Times New Roman" w:cs="Times New Roman"/>
          <w:color w:val="auto"/>
          <w:sz w:val="24"/>
          <w:szCs w:val="24"/>
          <w:lang w:val="fr-FR"/>
        </w:rPr>
        <w:t xml:space="preserve">ode de </w:t>
      </w:r>
      <w:r w:rsidR="00545545" w:rsidRPr="00545545">
        <w:rPr>
          <w:rFonts w:ascii="Times New Roman" w:eastAsia="Times New Roman" w:hAnsi="Times New Roman" w:cs="Times New Roman"/>
          <w:color w:val="auto"/>
          <w:sz w:val="24"/>
          <w:szCs w:val="24"/>
          <w:lang w:val="fr-FR"/>
        </w:rPr>
        <w:t>D</w:t>
      </w:r>
      <w:r w:rsidRPr="00545545">
        <w:rPr>
          <w:rFonts w:ascii="Times New Roman" w:eastAsia="Times New Roman" w:hAnsi="Times New Roman" w:cs="Times New Roman"/>
          <w:color w:val="auto"/>
          <w:sz w:val="24"/>
          <w:szCs w:val="24"/>
          <w:lang w:val="fr-FR"/>
        </w:rPr>
        <w:t xml:space="preserve">roit </w:t>
      </w:r>
      <w:r w:rsidR="00545545" w:rsidRPr="00545545">
        <w:rPr>
          <w:rFonts w:ascii="Times New Roman" w:eastAsia="Times New Roman" w:hAnsi="Times New Roman" w:cs="Times New Roman"/>
          <w:color w:val="auto"/>
          <w:sz w:val="24"/>
          <w:szCs w:val="24"/>
          <w:lang w:val="fr-FR"/>
        </w:rPr>
        <w:t>C</w:t>
      </w:r>
      <w:r w:rsidRPr="00545545">
        <w:rPr>
          <w:rFonts w:ascii="Times New Roman" w:eastAsia="Times New Roman" w:hAnsi="Times New Roman" w:cs="Times New Roman"/>
          <w:color w:val="auto"/>
          <w:sz w:val="24"/>
          <w:szCs w:val="24"/>
          <w:lang w:val="fr-FR"/>
        </w:rPr>
        <w:t xml:space="preserve">anonique. Elle constitue la procédure à laquelle recourir aussi durant la phase d’instruction requise par le canon 695 concernant </w:t>
      </w:r>
      <w:r w:rsidR="00904E71" w:rsidRPr="00545545">
        <w:rPr>
          <w:rFonts w:ascii="Times New Roman" w:eastAsia="Times New Roman" w:hAnsi="Times New Roman" w:cs="Times New Roman"/>
          <w:color w:val="auto"/>
          <w:sz w:val="24"/>
          <w:szCs w:val="24"/>
          <w:lang w:val="fr-FR"/>
        </w:rPr>
        <w:t>le renvoi</w:t>
      </w:r>
      <w:r w:rsidRPr="00545545">
        <w:rPr>
          <w:rFonts w:ascii="Times New Roman" w:eastAsia="Times New Roman" w:hAnsi="Times New Roman" w:cs="Times New Roman"/>
          <w:color w:val="auto"/>
          <w:sz w:val="24"/>
          <w:szCs w:val="24"/>
          <w:lang w:val="fr-FR"/>
        </w:rPr>
        <w:t xml:space="preserve"> obligatoire d’un religieux</w:t>
      </w:r>
      <w:r w:rsidR="00545545" w:rsidRPr="00545545">
        <w:rPr>
          <w:rFonts w:ascii="Times New Roman" w:eastAsia="Times New Roman" w:hAnsi="Times New Roman" w:cs="Times New Roman"/>
          <w:color w:val="auto"/>
          <w:sz w:val="24"/>
          <w:szCs w:val="24"/>
          <w:lang w:val="fr-FR"/>
        </w:rPr>
        <w:t>,</w:t>
      </w:r>
      <w:r w:rsidRPr="00545545">
        <w:rPr>
          <w:rFonts w:ascii="Times New Roman" w:eastAsia="Times New Roman" w:hAnsi="Times New Roman" w:cs="Times New Roman"/>
          <w:color w:val="auto"/>
          <w:sz w:val="24"/>
          <w:szCs w:val="24"/>
          <w:lang w:val="fr-FR"/>
        </w:rPr>
        <w:t xml:space="preserve"> et par le canon 696 CIC concernant </w:t>
      </w:r>
      <w:r w:rsidR="00C67A4B" w:rsidRPr="00545545">
        <w:rPr>
          <w:rFonts w:ascii="Times New Roman" w:eastAsia="Times New Roman" w:hAnsi="Times New Roman" w:cs="Times New Roman"/>
          <w:color w:val="auto"/>
          <w:sz w:val="24"/>
          <w:szCs w:val="24"/>
          <w:lang w:val="fr-FR"/>
        </w:rPr>
        <w:t>le renvoi</w:t>
      </w:r>
      <w:r w:rsidRPr="00545545">
        <w:rPr>
          <w:rFonts w:ascii="Times New Roman" w:eastAsia="Times New Roman" w:hAnsi="Times New Roman" w:cs="Times New Roman"/>
          <w:color w:val="auto"/>
          <w:sz w:val="24"/>
          <w:szCs w:val="24"/>
          <w:lang w:val="fr-FR"/>
        </w:rPr>
        <w:t xml:space="preserve"> d’un religieux de l’avis du </w:t>
      </w:r>
      <w:r w:rsidR="00545545" w:rsidRPr="00545545">
        <w:rPr>
          <w:rFonts w:ascii="Times New Roman" w:eastAsia="Times New Roman" w:hAnsi="Times New Roman" w:cs="Times New Roman"/>
          <w:color w:val="auto"/>
          <w:sz w:val="24"/>
          <w:szCs w:val="24"/>
          <w:lang w:val="fr-FR"/>
        </w:rPr>
        <w:t>S</w:t>
      </w:r>
      <w:r w:rsidRPr="00545545">
        <w:rPr>
          <w:rFonts w:ascii="Times New Roman" w:eastAsia="Times New Roman" w:hAnsi="Times New Roman" w:cs="Times New Roman"/>
          <w:color w:val="auto"/>
          <w:sz w:val="24"/>
          <w:szCs w:val="24"/>
          <w:lang w:val="fr-FR"/>
        </w:rPr>
        <w:t xml:space="preserve">upérieur. Elle donne une assurance juridique aux décisions du </w:t>
      </w:r>
      <w:r w:rsidR="00545545" w:rsidRPr="00545545">
        <w:rPr>
          <w:rFonts w:ascii="Times New Roman" w:eastAsia="Times New Roman" w:hAnsi="Times New Roman" w:cs="Times New Roman"/>
          <w:color w:val="auto"/>
          <w:sz w:val="24"/>
          <w:szCs w:val="24"/>
          <w:lang w:val="fr-FR"/>
        </w:rPr>
        <w:t>S</w:t>
      </w:r>
      <w:r w:rsidRPr="00545545">
        <w:rPr>
          <w:rFonts w:ascii="Times New Roman" w:eastAsia="Times New Roman" w:hAnsi="Times New Roman" w:cs="Times New Roman"/>
          <w:color w:val="auto"/>
          <w:sz w:val="24"/>
          <w:szCs w:val="24"/>
          <w:lang w:val="fr-FR"/>
        </w:rPr>
        <w:t xml:space="preserve">upérieur lui-même. </w:t>
      </w:r>
    </w:p>
    <w:p w:rsidR="001C6C60" w:rsidRPr="00545545" w:rsidRDefault="001C6C60" w:rsidP="008C102C">
      <w:pPr>
        <w:pStyle w:val="DidefaultA"/>
        <w:jc w:val="both"/>
        <w:rPr>
          <w:rFonts w:ascii="Times New Roman" w:hAnsi="Times New Roman" w:cs="Times New Roman"/>
          <w:sz w:val="24"/>
          <w:szCs w:val="24"/>
          <w:lang w:val="fr-FR"/>
        </w:rPr>
      </w:pPr>
    </w:p>
    <w:p w:rsidR="008D51CE" w:rsidRPr="008D51CE" w:rsidRDefault="008D51CE" w:rsidP="00595CBA">
      <w:pPr>
        <w:pStyle w:val="DidefaultA"/>
        <w:ind w:firstLine="284"/>
        <w:jc w:val="both"/>
        <w:rPr>
          <w:rFonts w:ascii="Times New Roman" w:hAnsi="Times New Roman" w:cs="Times New Roman"/>
          <w:color w:val="FF0000"/>
          <w:sz w:val="24"/>
          <w:szCs w:val="24"/>
          <w:lang w:val="fr-FR"/>
        </w:rPr>
      </w:pPr>
      <w:r w:rsidRPr="00595CBA">
        <w:rPr>
          <w:rFonts w:ascii="Times New Roman" w:hAnsi="Times New Roman" w:cs="Times New Roman"/>
          <w:color w:val="auto"/>
          <w:sz w:val="24"/>
          <w:szCs w:val="24"/>
          <w:lang w:val="fr-FR"/>
        </w:rPr>
        <w:t xml:space="preserve">À cette fin, a été préparé un </w:t>
      </w:r>
      <w:r w:rsidR="00595CBA" w:rsidRPr="00595CBA">
        <w:rPr>
          <w:rFonts w:ascii="Times New Roman" w:hAnsi="Times New Roman" w:cs="Times New Roman"/>
          <w:color w:val="auto"/>
          <w:sz w:val="24"/>
          <w:szCs w:val="24"/>
          <w:lang w:val="fr-FR"/>
        </w:rPr>
        <w:t xml:space="preserve">Vade-mecum </w:t>
      </w:r>
      <w:r w:rsidRPr="00595CBA">
        <w:rPr>
          <w:rFonts w:ascii="Times New Roman" w:hAnsi="Times New Roman" w:cs="Times New Roman"/>
          <w:color w:val="auto"/>
          <w:sz w:val="24"/>
          <w:szCs w:val="24"/>
          <w:lang w:val="fr-FR"/>
        </w:rPr>
        <w:t xml:space="preserve">contenant la réglementation canonique et les indications </w:t>
      </w:r>
      <w:r w:rsidR="00595CBA">
        <w:rPr>
          <w:rFonts w:ascii="Times New Roman" w:hAnsi="Times New Roman" w:cs="Times New Roman"/>
          <w:color w:val="auto"/>
          <w:sz w:val="24"/>
          <w:szCs w:val="24"/>
          <w:lang w:val="fr-FR"/>
        </w:rPr>
        <w:t>en vue de</w:t>
      </w:r>
      <w:r w:rsidRPr="00595CBA">
        <w:rPr>
          <w:rFonts w:ascii="Times New Roman" w:hAnsi="Times New Roman" w:cs="Times New Roman"/>
          <w:color w:val="auto"/>
          <w:sz w:val="24"/>
          <w:szCs w:val="24"/>
          <w:lang w:val="fr-FR"/>
        </w:rPr>
        <w:t xml:space="preserve"> la procédure à suivre, pour n’importe quel signalement d</w:t>
      </w:r>
      <w:r w:rsidR="00B04786">
        <w:rPr>
          <w:rFonts w:ascii="Times New Roman" w:hAnsi="Times New Roman" w:cs="Times New Roman"/>
          <w:color w:val="auto"/>
          <w:sz w:val="24"/>
          <w:szCs w:val="24"/>
          <w:lang w:val="fr-FR"/>
        </w:rPr>
        <w:t xml:space="preserve">e </w:t>
      </w:r>
      <w:r w:rsidRPr="00595CBA">
        <w:rPr>
          <w:rFonts w:ascii="Times New Roman" w:hAnsi="Times New Roman" w:cs="Times New Roman"/>
          <w:color w:val="auto"/>
          <w:sz w:val="24"/>
          <w:szCs w:val="24"/>
          <w:lang w:val="fr-FR"/>
        </w:rPr>
        <w:t>violation externe d’une loi canonique</w:t>
      </w:r>
      <w:r w:rsidR="00904E71" w:rsidRPr="00595CBA">
        <w:rPr>
          <w:rFonts w:ascii="Times New Roman" w:hAnsi="Times New Roman" w:cs="Times New Roman"/>
          <w:color w:val="auto"/>
          <w:sz w:val="24"/>
          <w:szCs w:val="24"/>
          <w:lang w:val="fr-FR"/>
        </w:rPr>
        <w:t xml:space="preserve"> ou d’un </w:t>
      </w:r>
      <w:r w:rsidR="00595CBA" w:rsidRPr="00595CBA">
        <w:rPr>
          <w:rFonts w:ascii="Times New Roman" w:hAnsi="Times New Roman" w:cs="Times New Roman"/>
          <w:color w:val="auto"/>
          <w:sz w:val="24"/>
          <w:szCs w:val="24"/>
          <w:lang w:val="fr-FR"/>
        </w:rPr>
        <w:t>précepte</w:t>
      </w:r>
      <w:r w:rsidR="00904E71" w:rsidRPr="00595CBA">
        <w:rPr>
          <w:rFonts w:ascii="Times New Roman" w:hAnsi="Times New Roman" w:cs="Times New Roman"/>
          <w:color w:val="auto"/>
          <w:sz w:val="24"/>
          <w:szCs w:val="24"/>
          <w:lang w:val="fr-FR"/>
        </w:rPr>
        <w:t xml:space="preserve"> assortis d’une peine. Les indications contenues dans le </w:t>
      </w:r>
      <w:r w:rsidR="00595CBA" w:rsidRPr="00595CBA">
        <w:rPr>
          <w:rFonts w:ascii="Times New Roman" w:hAnsi="Times New Roman" w:cs="Times New Roman"/>
          <w:color w:val="auto"/>
          <w:sz w:val="24"/>
          <w:szCs w:val="24"/>
          <w:lang w:val="fr-FR"/>
        </w:rPr>
        <w:t>V</w:t>
      </w:r>
      <w:r w:rsidR="00904E71" w:rsidRPr="00595CBA">
        <w:rPr>
          <w:rFonts w:ascii="Times New Roman" w:hAnsi="Times New Roman" w:cs="Times New Roman"/>
          <w:color w:val="auto"/>
          <w:sz w:val="24"/>
          <w:szCs w:val="24"/>
          <w:lang w:val="fr-FR"/>
        </w:rPr>
        <w:t xml:space="preserve">ade-mecum sont de caractère général ; elles devront être intégrées </w:t>
      </w:r>
      <w:r w:rsidR="00595CBA" w:rsidRPr="00595CBA">
        <w:rPr>
          <w:rFonts w:ascii="Times New Roman" w:hAnsi="Times New Roman" w:cs="Times New Roman"/>
          <w:color w:val="auto"/>
          <w:sz w:val="24"/>
          <w:szCs w:val="24"/>
          <w:lang w:val="fr-FR"/>
        </w:rPr>
        <w:t>aux</w:t>
      </w:r>
      <w:r w:rsidR="00904E71" w:rsidRPr="00595CBA">
        <w:rPr>
          <w:rFonts w:ascii="Times New Roman" w:hAnsi="Times New Roman" w:cs="Times New Roman"/>
          <w:color w:val="auto"/>
          <w:sz w:val="24"/>
          <w:szCs w:val="24"/>
          <w:lang w:val="fr-FR"/>
        </w:rPr>
        <w:t xml:space="preserve"> prescriptions plus détaillées, émanant éventuellement de chaque </w:t>
      </w:r>
      <w:r w:rsidR="00595CBA" w:rsidRPr="00595CBA">
        <w:rPr>
          <w:rFonts w:ascii="Times New Roman" w:hAnsi="Times New Roman" w:cs="Times New Roman"/>
          <w:color w:val="auto"/>
          <w:sz w:val="24"/>
          <w:szCs w:val="24"/>
          <w:lang w:val="fr-FR"/>
        </w:rPr>
        <w:t>C</w:t>
      </w:r>
      <w:r w:rsidR="00904E71" w:rsidRPr="00595CBA">
        <w:rPr>
          <w:rFonts w:ascii="Times New Roman" w:hAnsi="Times New Roman" w:cs="Times New Roman"/>
          <w:color w:val="auto"/>
          <w:sz w:val="24"/>
          <w:szCs w:val="24"/>
          <w:lang w:val="fr-FR"/>
        </w:rPr>
        <w:t xml:space="preserve">onférence </w:t>
      </w:r>
      <w:r w:rsidR="00595CBA" w:rsidRPr="00595CBA">
        <w:rPr>
          <w:rFonts w:ascii="Times New Roman" w:hAnsi="Times New Roman" w:cs="Times New Roman"/>
          <w:color w:val="auto"/>
          <w:sz w:val="24"/>
          <w:szCs w:val="24"/>
          <w:lang w:val="fr-FR"/>
        </w:rPr>
        <w:t>É</w:t>
      </w:r>
      <w:r w:rsidR="00904E71" w:rsidRPr="00595CBA">
        <w:rPr>
          <w:rFonts w:ascii="Times New Roman" w:hAnsi="Times New Roman" w:cs="Times New Roman"/>
          <w:color w:val="auto"/>
          <w:sz w:val="24"/>
          <w:szCs w:val="24"/>
          <w:lang w:val="fr-FR"/>
        </w:rPr>
        <w:t xml:space="preserve">piscopale et dans le plein respect de la législation civile de chaque </w:t>
      </w:r>
      <w:r w:rsidR="00595CBA" w:rsidRPr="00595CBA">
        <w:rPr>
          <w:rFonts w:ascii="Times New Roman" w:hAnsi="Times New Roman" w:cs="Times New Roman"/>
          <w:color w:val="auto"/>
          <w:sz w:val="24"/>
          <w:szCs w:val="24"/>
          <w:lang w:val="fr-FR"/>
        </w:rPr>
        <w:t>P</w:t>
      </w:r>
      <w:r w:rsidR="00904E71" w:rsidRPr="00595CBA">
        <w:rPr>
          <w:rFonts w:ascii="Times New Roman" w:hAnsi="Times New Roman" w:cs="Times New Roman"/>
          <w:color w:val="auto"/>
          <w:sz w:val="24"/>
          <w:szCs w:val="24"/>
          <w:lang w:val="fr-FR"/>
        </w:rPr>
        <w:t>ays.</w:t>
      </w:r>
    </w:p>
    <w:p w:rsidR="008D51CE" w:rsidRPr="00595CBA" w:rsidRDefault="008D51CE" w:rsidP="008C102C">
      <w:pPr>
        <w:pStyle w:val="DidefaultA"/>
        <w:jc w:val="both"/>
        <w:rPr>
          <w:rFonts w:ascii="Times New Roman" w:hAnsi="Times New Roman" w:cs="Times New Roman"/>
          <w:color w:val="auto"/>
          <w:sz w:val="24"/>
          <w:szCs w:val="24"/>
          <w:lang w:val="fr-FR"/>
        </w:rPr>
      </w:pPr>
    </w:p>
    <w:p w:rsidR="00904E71" w:rsidRDefault="00904E71" w:rsidP="00595CBA">
      <w:pPr>
        <w:pStyle w:val="DidefaultA"/>
        <w:ind w:firstLine="284"/>
        <w:jc w:val="both"/>
        <w:rPr>
          <w:rFonts w:ascii="Times New Roman" w:hAnsi="Times New Roman" w:cs="Times New Roman"/>
          <w:color w:val="FF0000"/>
          <w:sz w:val="24"/>
          <w:szCs w:val="24"/>
          <w:lang w:val="fr-FR"/>
        </w:rPr>
      </w:pPr>
      <w:r w:rsidRPr="00595CBA">
        <w:rPr>
          <w:rFonts w:ascii="Times New Roman" w:hAnsi="Times New Roman" w:cs="Times New Roman"/>
          <w:color w:val="auto"/>
          <w:sz w:val="24"/>
          <w:szCs w:val="24"/>
          <w:lang w:val="fr-FR"/>
        </w:rPr>
        <w:t xml:space="preserve">Ce </w:t>
      </w:r>
      <w:r w:rsidR="00595CBA" w:rsidRPr="00595CBA">
        <w:rPr>
          <w:rFonts w:ascii="Times New Roman" w:hAnsi="Times New Roman" w:cs="Times New Roman"/>
          <w:color w:val="auto"/>
          <w:sz w:val="24"/>
          <w:szCs w:val="24"/>
          <w:lang w:val="fr-FR"/>
        </w:rPr>
        <w:t>V</w:t>
      </w:r>
      <w:r w:rsidRPr="00595CBA">
        <w:rPr>
          <w:rFonts w:ascii="Times New Roman" w:hAnsi="Times New Roman" w:cs="Times New Roman"/>
          <w:color w:val="auto"/>
          <w:sz w:val="24"/>
          <w:szCs w:val="24"/>
          <w:lang w:val="fr-FR"/>
        </w:rPr>
        <w:t xml:space="preserve">ade-mecum sera prochainement envoyé aux </w:t>
      </w:r>
      <w:r w:rsidR="00595CBA" w:rsidRPr="00595CBA">
        <w:rPr>
          <w:rFonts w:ascii="Times New Roman" w:hAnsi="Times New Roman" w:cs="Times New Roman"/>
          <w:color w:val="auto"/>
          <w:sz w:val="24"/>
          <w:szCs w:val="24"/>
          <w:lang w:val="fr-FR"/>
        </w:rPr>
        <w:t>P</w:t>
      </w:r>
      <w:r w:rsidRPr="00595CBA">
        <w:rPr>
          <w:rFonts w:ascii="Times New Roman" w:hAnsi="Times New Roman" w:cs="Times New Roman"/>
          <w:color w:val="auto"/>
          <w:sz w:val="24"/>
          <w:szCs w:val="24"/>
          <w:lang w:val="fr-FR"/>
        </w:rPr>
        <w:t>rovinciaux. On peut voir ci-dessous le schéma de ce document afin que chaque confrère puisse avoir connaissance de la procédure</w:t>
      </w:r>
      <w:r>
        <w:rPr>
          <w:rFonts w:ascii="Times New Roman" w:hAnsi="Times New Roman" w:cs="Times New Roman"/>
          <w:color w:val="FF0000"/>
          <w:sz w:val="24"/>
          <w:szCs w:val="24"/>
          <w:lang w:val="fr-FR"/>
        </w:rPr>
        <w:t>.</w:t>
      </w:r>
    </w:p>
    <w:p w:rsidR="00904E71" w:rsidRPr="008D51CE" w:rsidRDefault="00904E71" w:rsidP="008C102C">
      <w:pPr>
        <w:pStyle w:val="DidefaultA"/>
        <w:jc w:val="both"/>
        <w:rPr>
          <w:rFonts w:ascii="Times New Roman" w:hAnsi="Times New Roman" w:cs="Times New Roman"/>
          <w:color w:val="FF0000"/>
          <w:sz w:val="24"/>
          <w:szCs w:val="24"/>
          <w:lang w:val="fr-FR"/>
        </w:rPr>
      </w:pPr>
    </w:p>
    <w:p w:rsidR="001C6C60" w:rsidRPr="00904E71" w:rsidRDefault="007B1BE9" w:rsidP="008C102C">
      <w:pPr>
        <w:pStyle w:val="DidefaultA"/>
        <w:jc w:val="both"/>
        <w:rPr>
          <w:rFonts w:ascii="Times New Roman" w:eastAsia="Times New Roman" w:hAnsi="Times New Roman" w:cs="Times New Roman"/>
          <w:b/>
          <w:bCs/>
          <w:sz w:val="24"/>
          <w:szCs w:val="24"/>
          <w:lang w:val="fr-FR"/>
        </w:rPr>
      </w:pPr>
      <w:r w:rsidRPr="00904E71">
        <w:rPr>
          <w:rFonts w:ascii="Times New Roman" w:hAnsi="Times New Roman"/>
          <w:b/>
          <w:bCs/>
          <w:sz w:val="24"/>
          <w:szCs w:val="24"/>
          <w:lang w:val="fr-FR"/>
        </w:rPr>
        <w:t>1.</w:t>
      </w:r>
      <w:r w:rsidR="00904E71" w:rsidRPr="00904E71">
        <w:rPr>
          <w:rFonts w:ascii="Times New Roman" w:hAnsi="Times New Roman"/>
          <w:b/>
          <w:bCs/>
          <w:sz w:val="24"/>
          <w:szCs w:val="24"/>
          <w:lang w:val="fr-FR"/>
        </w:rPr>
        <w:t xml:space="preserve"> Première phase </w:t>
      </w:r>
      <w:r w:rsidR="00E714E4" w:rsidRPr="00904E71">
        <w:rPr>
          <w:rFonts w:ascii="Times New Roman" w:hAnsi="Times New Roman"/>
          <w:b/>
          <w:bCs/>
          <w:sz w:val="24"/>
          <w:szCs w:val="24"/>
          <w:lang w:val="fr-FR"/>
        </w:rPr>
        <w:t>:</w:t>
      </w:r>
      <w:r w:rsidRPr="00904E71">
        <w:rPr>
          <w:rFonts w:ascii="Times New Roman" w:hAnsi="Times New Roman"/>
          <w:b/>
          <w:bCs/>
          <w:sz w:val="24"/>
          <w:szCs w:val="24"/>
          <w:lang w:val="fr-FR"/>
        </w:rPr>
        <w:t xml:space="preserve"> </w:t>
      </w:r>
      <w:r w:rsidRPr="00904E71">
        <w:rPr>
          <w:rFonts w:ascii="Times New Roman" w:hAnsi="Times New Roman"/>
          <w:b/>
          <w:bCs/>
          <w:i/>
          <w:iCs/>
          <w:sz w:val="24"/>
          <w:szCs w:val="24"/>
          <w:lang w:val="fr-FR"/>
        </w:rPr>
        <w:t>notitia criminis</w:t>
      </w:r>
      <w:r w:rsidR="00E714E4" w:rsidRPr="00904E71">
        <w:rPr>
          <w:rFonts w:ascii="Times New Roman" w:hAnsi="Times New Roman"/>
          <w:b/>
          <w:bCs/>
          <w:sz w:val="24"/>
          <w:szCs w:val="24"/>
          <w:lang w:val="fr-FR"/>
        </w:rPr>
        <w:t xml:space="preserve"> </w:t>
      </w:r>
      <w:r w:rsidR="00904E71" w:rsidRPr="00904E71">
        <w:rPr>
          <w:rFonts w:ascii="Times New Roman" w:hAnsi="Times New Roman"/>
          <w:b/>
          <w:bCs/>
          <w:sz w:val="24"/>
          <w:szCs w:val="24"/>
          <w:lang w:val="fr-FR"/>
        </w:rPr>
        <w:t>[</w:t>
      </w:r>
      <w:r w:rsidR="00943D35">
        <w:rPr>
          <w:rFonts w:ascii="Times New Roman" w:hAnsi="Times New Roman"/>
          <w:b/>
          <w:bCs/>
          <w:sz w:val="24"/>
          <w:szCs w:val="24"/>
          <w:lang w:val="fr-FR"/>
        </w:rPr>
        <w:t>connaissance</w:t>
      </w:r>
      <w:r w:rsidR="00C67A4B">
        <w:rPr>
          <w:rFonts w:ascii="Times New Roman" w:hAnsi="Times New Roman"/>
          <w:b/>
          <w:bCs/>
          <w:sz w:val="24"/>
          <w:szCs w:val="24"/>
          <w:lang w:val="fr-FR"/>
        </w:rPr>
        <w:t xml:space="preserve"> </w:t>
      </w:r>
      <w:r w:rsidR="00904E71" w:rsidRPr="00904E71">
        <w:rPr>
          <w:rFonts w:ascii="Times New Roman" w:hAnsi="Times New Roman"/>
          <w:b/>
          <w:bCs/>
          <w:sz w:val="24"/>
          <w:szCs w:val="24"/>
          <w:lang w:val="fr-FR"/>
        </w:rPr>
        <w:t xml:space="preserve">du délit] et lancement de la procédure </w:t>
      </w:r>
    </w:p>
    <w:p w:rsidR="001C6C60" w:rsidRPr="00904E71" w:rsidRDefault="001C6C60" w:rsidP="008C102C">
      <w:pPr>
        <w:pStyle w:val="DidefaultA"/>
        <w:jc w:val="both"/>
        <w:rPr>
          <w:rFonts w:ascii="Times New Roman" w:eastAsia="Times New Roman" w:hAnsi="Times New Roman" w:cs="Times New Roman"/>
          <w:bCs/>
          <w:iCs/>
          <w:sz w:val="24"/>
          <w:szCs w:val="24"/>
          <w:lang w:val="fr-FR"/>
        </w:rPr>
      </w:pPr>
    </w:p>
    <w:p w:rsidR="00904E71" w:rsidRPr="00595CBA" w:rsidRDefault="00904E71" w:rsidP="00595CBA">
      <w:pPr>
        <w:pStyle w:val="DidefaultA"/>
        <w:ind w:firstLine="284"/>
        <w:jc w:val="both"/>
        <w:rPr>
          <w:rFonts w:ascii="Times New Roman" w:hAnsi="Times New Roman"/>
          <w:color w:val="auto"/>
          <w:sz w:val="24"/>
          <w:szCs w:val="24"/>
          <w:lang w:val="fr-FR"/>
        </w:rPr>
      </w:pPr>
      <w:r w:rsidRPr="00595CBA">
        <w:rPr>
          <w:rFonts w:ascii="Times New Roman" w:hAnsi="Times New Roman"/>
          <w:color w:val="auto"/>
          <w:sz w:val="24"/>
          <w:szCs w:val="24"/>
          <w:lang w:val="fr-FR"/>
        </w:rPr>
        <w:t>La procédure est lancée lorsqu</w:t>
      </w:r>
      <w:r w:rsidR="00943D35">
        <w:rPr>
          <w:rFonts w:ascii="Times New Roman" w:hAnsi="Times New Roman"/>
          <w:color w:val="auto"/>
          <w:sz w:val="24"/>
          <w:szCs w:val="24"/>
          <w:lang w:val="fr-FR"/>
        </w:rPr>
        <w:t xml:space="preserve">e vient au jour </w:t>
      </w:r>
      <w:r w:rsidRPr="00595CBA">
        <w:rPr>
          <w:rFonts w:ascii="Times New Roman" w:hAnsi="Times New Roman"/>
          <w:color w:val="auto"/>
          <w:sz w:val="24"/>
          <w:szCs w:val="24"/>
          <w:lang w:val="fr-FR"/>
        </w:rPr>
        <w:t>une</w:t>
      </w:r>
      <w:r w:rsidRPr="00595CBA">
        <w:rPr>
          <w:rFonts w:ascii="Times New Roman" w:hAnsi="Times New Roman"/>
          <w:i/>
          <w:iCs/>
          <w:color w:val="auto"/>
          <w:sz w:val="24"/>
          <w:szCs w:val="24"/>
          <w:lang w:val="fr-FR"/>
        </w:rPr>
        <w:t xml:space="preserve"> </w:t>
      </w:r>
      <w:r w:rsidRPr="00595CBA">
        <w:rPr>
          <w:rFonts w:ascii="Times New Roman" w:hAnsi="Times New Roman"/>
          <w:i/>
          <w:iCs/>
          <w:color w:val="auto"/>
          <w:sz w:val="24"/>
          <w:szCs w:val="24"/>
          <w:lang w:val="fr-FR"/>
        </w:rPr>
        <w:t>notitia criminis</w:t>
      </w:r>
      <w:r w:rsidRPr="00595CBA">
        <w:rPr>
          <w:rFonts w:ascii="Times New Roman" w:hAnsi="Times New Roman"/>
          <w:i/>
          <w:iCs/>
          <w:color w:val="auto"/>
          <w:sz w:val="24"/>
          <w:szCs w:val="24"/>
          <w:lang w:val="fr-FR"/>
        </w:rPr>
        <w:t xml:space="preserve"> </w:t>
      </w:r>
      <w:r w:rsidRPr="00595CBA">
        <w:rPr>
          <w:rFonts w:ascii="Times New Roman" w:hAnsi="Times New Roman"/>
          <w:iCs/>
          <w:color w:val="auto"/>
          <w:sz w:val="24"/>
          <w:szCs w:val="24"/>
          <w:lang w:val="fr-FR"/>
        </w:rPr>
        <w:t>concern</w:t>
      </w:r>
      <w:r w:rsidR="00C67A4B" w:rsidRPr="00595CBA">
        <w:rPr>
          <w:rFonts w:ascii="Times New Roman" w:hAnsi="Times New Roman"/>
          <w:iCs/>
          <w:color w:val="auto"/>
          <w:sz w:val="24"/>
          <w:szCs w:val="24"/>
          <w:lang w:val="fr-FR"/>
        </w:rPr>
        <w:t>ant</w:t>
      </w:r>
      <w:r w:rsidRPr="00595CBA">
        <w:rPr>
          <w:rFonts w:ascii="Times New Roman" w:hAnsi="Times New Roman"/>
          <w:i/>
          <w:iCs/>
          <w:color w:val="auto"/>
          <w:sz w:val="24"/>
          <w:szCs w:val="24"/>
          <w:lang w:val="fr-FR"/>
        </w:rPr>
        <w:t xml:space="preserve"> </w:t>
      </w:r>
      <w:r w:rsidRPr="00595CBA">
        <w:rPr>
          <w:rFonts w:ascii="Times New Roman" w:hAnsi="Times New Roman"/>
          <w:iCs/>
          <w:color w:val="auto"/>
          <w:sz w:val="24"/>
          <w:szCs w:val="24"/>
          <w:lang w:val="fr-FR"/>
        </w:rPr>
        <w:t>un confrère. La première phase s’articule en différents temps et actes consécutifs.</w:t>
      </w:r>
    </w:p>
    <w:p w:rsidR="001C6C60" w:rsidRPr="00904E71" w:rsidRDefault="001C6C60" w:rsidP="008C102C">
      <w:pPr>
        <w:pStyle w:val="DidefaultA"/>
        <w:jc w:val="both"/>
        <w:rPr>
          <w:rFonts w:ascii="Times New Roman" w:eastAsia="Times New Roman" w:hAnsi="Times New Roman" w:cs="Times New Roman"/>
          <w:sz w:val="24"/>
          <w:szCs w:val="24"/>
          <w:lang w:val="fr-FR"/>
        </w:rPr>
      </w:pPr>
    </w:p>
    <w:p w:rsidR="001C6C60" w:rsidRPr="00214C47" w:rsidRDefault="007B1BE9" w:rsidP="008C102C">
      <w:pPr>
        <w:pStyle w:val="DidefaultA"/>
        <w:jc w:val="both"/>
        <w:rPr>
          <w:rFonts w:ascii="Times New Roman" w:eastAsia="Times New Roman" w:hAnsi="Times New Roman" w:cs="Times New Roman"/>
          <w:color w:val="auto"/>
          <w:sz w:val="24"/>
          <w:szCs w:val="24"/>
          <w:lang w:val="fr-FR"/>
        </w:rPr>
      </w:pPr>
      <w:r w:rsidRPr="00C67A4B">
        <w:rPr>
          <w:rFonts w:ascii="Times New Roman" w:hAnsi="Times New Roman"/>
          <w:sz w:val="24"/>
          <w:szCs w:val="24"/>
          <w:lang w:val="fr-FR"/>
        </w:rPr>
        <w:t xml:space="preserve">1.1 </w:t>
      </w:r>
      <w:r w:rsidRPr="00214C47">
        <w:rPr>
          <w:rFonts w:ascii="Times New Roman" w:hAnsi="Times New Roman"/>
          <w:color w:val="auto"/>
          <w:sz w:val="24"/>
          <w:szCs w:val="24"/>
          <w:lang w:val="fr-FR"/>
        </w:rPr>
        <w:t xml:space="preserve">La </w:t>
      </w:r>
      <w:r w:rsidRPr="00214C47">
        <w:rPr>
          <w:rFonts w:ascii="Times New Roman" w:hAnsi="Times New Roman"/>
          <w:i/>
          <w:iCs/>
          <w:color w:val="auto"/>
          <w:sz w:val="24"/>
          <w:szCs w:val="24"/>
          <w:lang w:val="fr-FR"/>
        </w:rPr>
        <w:t xml:space="preserve">notitia </w:t>
      </w:r>
      <w:r w:rsidR="00595CBA" w:rsidRPr="00214C47">
        <w:rPr>
          <w:rFonts w:ascii="Times New Roman" w:hAnsi="Times New Roman"/>
          <w:i/>
          <w:iCs/>
          <w:color w:val="auto"/>
          <w:sz w:val="24"/>
          <w:szCs w:val="24"/>
          <w:lang w:val="fr-FR"/>
        </w:rPr>
        <w:t>criminis</w:t>
      </w:r>
      <w:r w:rsidR="00595CBA" w:rsidRPr="00214C47">
        <w:rPr>
          <w:rFonts w:ascii="Times New Roman" w:hAnsi="Times New Roman"/>
          <w:iCs/>
          <w:color w:val="auto"/>
          <w:sz w:val="24"/>
          <w:szCs w:val="24"/>
          <w:lang w:val="fr-FR"/>
        </w:rPr>
        <w:t> :</w:t>
      </w:r>
      <w:r w:rsidRPr="00214C47">
        <w:rPr>
          <w:rFonts w:ascii="Times New Roman" w:hAnsi="Times New Roman"/>
          <w:iCs/>
          <w:color w:val="auto"/>
          <w:sz w:val="24"/>
          <w:szCs w:val="24"/>
          <w:lang w:val="fr-FR"/>
        </w:rPr>
        <w:t xml:space="preserve"> </w:t>
      </w:r>
      <w:r w:rsidR="00EB19D2">
        <w:rPr>
          <w:rFonts w:ascii="Times New Roman" w:hAnsi="Times New Roman"/>
          <w:iCs/>
          <w:color w:val="auto"/>
          <w:sz w:val="24"/>
          <w:szCs w:val="24"/>
          <w:lang w:val="fr-FR"/>
        </w:rPr>
        <w:t>modalités de sa venue au jour</w:t>
      </w:r>
    </w:p>
    <w:p w:rsidR="001C6C60" w:rsidRPr="00214C47" w:rsidRDefault="007B1BE9" w:rsidP="008C102C">
      <w:pPr>
        <w:pStyle w:val="DidefaultA"/>
        <w:jc w:val="both"/>
        <w:rPr>
          <w:rFonts w:ascii="Times New Roman" w:eastAsia="Times New Roman" w:hAnsi="Times New Roman" w:cs="Times New Roman"/>
          <w:color w:val="auto"/>
          <w:sz w:val="24"/>
          <w:szCs w:val="24"/>
          <w:lang w:val="fr-FR"/>
        </w:rPr>
      </w:pPr>
      <w:r w:rsidRPr="00214C47">
        <w:rPr>
          <w:rFonts w:ascii="Times New Roman" w:hAnsi="Times New Roman"/>
          <w:color w:val="auto"/>
          <w:sz w:val="24"/>
          <w:szCs w:val="24"/>
          <w:lang w:val="fr-FR"/>
        </w:rPr>
        <w:t>1.2</w:t>
      </w:r>
      <w:r w:rsidRPr="00214C47">
        <w:rPr>
          <w:rFonts w:ascii="Times New Roman" w:hAnsi="Times New Roman"/>
          <w:i/>
          <w:iCs/>
          <w:color w:val="auto"/>
          <w:sz w:val="24"/>
          <w:szCs w:val="24"/>
          <w:lang w:val="fr-FR"/>
        </w:rPr>
        <w:t xml:space="preserve"> </w:t>
      </w:r>
      <w:r w:rsidR="00595CBA" w:rsidRPr="00214C47">
        <w:rPr>
          <w:rFonts w:ascii="Times New Roman" w:hAnsi="Times New Roman"/>
          <w:iCs/>
          <w:color w:val="auto"/>
          <w:sz w:val="24"/>
          <w:szCs w:val="24"/>
          <w:lang w:val="fr-FR"/>
        </w:rPr>
        <w:t>P</w:t>
      </w:r>
      <w:r w:rsidR="006C52AE" w:rsidRPr="00214C47">
        <w:rPr>
          <w:rFonts w:ascii="Times New Roman" w:hAnsi="Times New Roman"/>
          <w:iCs/>
          <w:color w:val="auto"/>
          <w:sz w:val="24"/>
          <w:szCs w:val="24"/>
          <w:lang w:val="fr-FR"/>
        </w:rPr>
        <w:t xml:space="preserve">remière évaluation sur le bien-fondé de la nouvelle et obligation de lancer une enquête </w:t>
      </w:r>
    </w:p>
    <w:p w:rsidR="006C52AE" w:rsidRPr="00214C47" w:rsidRDefault="007B1BE9" w:rsidP="008C102C">
      <w:pPr>
        <w:pStyle w:val="DidefaultA"/>
        <w:jc w:val="both"/>
        <w:rPr>
          <w:rFonts w:ascii="Times New Roman" w:hAnsi="Times New Roman"/>
          <w:color w:val="auto"/>
          <w:sz w:val="24"/>
          <w:szCs w:val="24"/>
          <w:lang w:val="fr-FR"/>
        </w:rPr>
      </w:pPr>
      <w:r w:rsidRPr="00214C47">
        <w:rPr>
          <w:rFonts w:ascii="Times New Roman" w:hAnsi="Times New Roman"/>
          <w:color w:val="auto"/>
          <w:sz w:val="24"/>
          <w:szCs w:val="24"/>
          <w:lang w:val="fr-FR"/>
        </w:rPr>
        <w:t xml:space="preserve">1.3 </w:t>
      </w:r>
      <w:r w:rsidR="00214C47" w:rsidRPr="00214C47">
        <w:rPr>
          <w:rFonts w:ascii="Times New Roman" w:hAnsi="Times New Roman"/>
          <w:color w:val="auto"/>
          <w:sz w:val="24"/>
          <w:szCs w:val="24"/>
          <w:lang w:val="fr-FR"/>
        </w:rPr>
        <w:t>Actes</w:t>
      </w:r>
      <w:r w:rsidR="006C52AE" w:rsidRPr="00214C47">
        <w:rPr>
          <w:rFonts w:ascii="Times New Roman" w:hAnsi="Times New Roman"/>
          <w:color w:val="auto"/>
          <w:sz w:val="24"/>
          <w:szCs w:val="24"/>
          <w:lang w:val="fr-FR"/>
        </w:rPr>
        <w:t xml:space="preserve"> préparatoires de l’enquête : nomination de l’</w:t>
      </w:r>
      <w:r w:rsidR="00214C47" w:rsidRPr="00214C47">
        <w:rPr>
          <w:rFonts w:ascii="Times New Roman" w:hAnsi="Times New Roman"/>
          <w:color w:val="auto"/>
          <w:sz w:val="24"/>
          <w:szCs w:val="24"/>
          <w:lang w:val="fr-FR"/>
        </w:rPr>
        <w:t>I</w:t>
      </w:r>
      <w:r w:rsidR="006C52AE" w:rsidRPr="00214C47">
        <w:rPr>
          <w:rFonts w:ascii="Times New Roman" w:hAnsi="Times New Roman"/>
          <w:color w:val="auto"/>
          <w:sz w:val="24"/>
          <w:szCs w:val="24"/>
          <w:lang w:val="fr-FR"/>
        </w:rPr>
        <w:t xml:space="preserve">nstructeur et du </w:t>
      </w:r>
      <w:r w:rsidR="00214C47" w:rsidRPr="00214C47">
        <w:rPr>
          <w:rFonts w:ascii="Times New Roman" w:hAnsi="Times New Roman"/>
          <w:color w:val="auto"/>
          <w:sz w:val="24"/>
          <w:szCs w:val="24"/>
          <w:lang w:val="fr-FR"/>
        </w:rPr>
        <w:t>N</w:t>
      </w:r>
      <w:r w:rsidR="006C52AE" w:rsidRPr="00214C47">
        <w:rPr>
          <w:rFonts w:ascii="Times New Roman" w:hAnsi="Times New Roman"/>
          <w:color w:val="auto"/>
          <w:sz w:val="24"/>
          <w:szCs w:val="24"/>
          <w:lang w:val="fr-FR"/>
        </w:rPr>
        <w:t>otaire</w:t>
      </w:r>
    </w:p>
    <w:p w:rsidR="001C6C60" w:rsidRPr="00214C47" w:rsidRDefault="007B1BE9" w:rsidP="008C102C">
      <w:pPr>
        <w:pStyle w:val="DidefaultA"/>
        <w:jc w:val="both"/>
        <w:rPr>
          <w:rFonts w:ascii="Times New Roman" w:eastAsia="Times New Roman" w:hAnsi="Times New Roman" w:cs="Times New Roman"/>
          <w:i/>
          <w:iCs/>
          <w:color w:val="auto"/>
          <w:sz w:val="24"/>
          <w:szCs w:val="24"/>
          <w:lang w:val="fr-FR"/>
        </w:rPr>
      </w:pPr>
      <w:r w:rsidRPr="00214C47">
        <w:rPr>
          <w:rFonts w:ascii="Times New Roman" w:hAnsi="Times New Roman"/>
          <w:color w:val="auto"/>
          <w:sz w:val="24"/>
          <w:szCs w:val="24"/>
          <w:lang w:val="fr-FR"/>
        </w:rPr>
        <w:t xml:space="preserve">1.4 </w:t>
      </w:r>
      <w:r w:rsidR="00214C47" w:rsidRPr="00214C47">
        <w:rPr>
          <w:rFonts w:ascii="Times New Roman" w:hAnsi="Times New Roman"/>
          <w:color w:val="auto"/>
          <w:sz w:val="24"/>
          <w:szCs w:val="24"/>
          <w:lang w:val="fr-FR"/>
        </w:rPr>
        <w:t>M</w:t>
      </w:r>
      <w:r w:rsidR="006C52AE" w:rsidRPr="00214C47">
        <w:rPr>
          <w:rFonts w:ascii="Times New Roman" w:hAnsi="Times New Roman"/>
          <w:color w:val="auto"/>
          <w:sz w:val="24"/>
          <w:szCs w:val="24"/>
          <w:lang w:val="fr-FR"/>
        </w:rPr>
        <w:t>esures de protection éventuelle</w:t>
      </w:r>
      <w:r w:rsidR="00214C47" w:rsidRPr="00214C47">
        <w:rPr>
          <w:rFonts w:ascii="Times New Roman" w:hAnsi="Times New Roman"/>
          <w:color w:val="auto"/>
          <w:sz w:val="24"/>
          <w:szCs w:val="24"/>
          <w:lang w:val="fr-FR"/>
        </w:rPr>
        <w:t>s</w:t>
      </w:r>
      <w:r w:rsidR="006C52AE" w:rsidRPr="00214C47">
        <w:rPr>
          <w:rFonts w:ascii="Times New Roman" w:hAnsi="Times New Roman"/>
          <w:color w:val="auto"/>
          <w:sz w:val="24"/>
          <w:szCs w:val="24"/>
          <w:lang w:val="fr-FR"/>
        </w:rPr>
        <w:t xml:space="preserve"> </w:t>
      </w:r>
    </w:p>
    <w:p w:rsidR="001C6C60" w:rsidRPr="00C67A4B" w:rsidRDefault="001C6C60" w:rsidP="008C102C">
      <w:pPr>
        <w:pStyle w:val="DidefaultA"/>
        <w:jc w:val="both"/>
        <w:rPr>
          <w:rFonts w:ascii="Times New Roman" w:eastAsia="Times New Roman" w:hAnsi="Times New Roman" w:cs="Times New Roman"/>
          <w:sz w:val="24"/>
          <w:szCs w:val="24"/>
          <w:lang w:val="fr-FR"/>
        </w:rPr>
      </w:pPr>
    </w:p>
    <w:p w:rsidR="001C6C60" w:rsidRPr="00904E71" w:rsidRDefault="007B1BE9" w:rsidP="008C102C">
      <w:pPr>
        <w:pStyle w:val="DidefaultA"/>
        <w:jc w:val="both"/>
        <w:rPr>
          <w:rFonts w:ascii="Times New Roman" w:eastAsia="Times New Roman" w:hAnsi="Times New Roman" w:cs="Times New Roman"/>
          <w:b/>
          <w:bCs/>
          <w:sz w:val="24"/>
          <w:szCs w:val="24"/>
          <w:lang w:val="fr-FR"/>
        </w:rPr>
      </w:pPr>
      <w:r w:rsidRPr="00904E71">
        <w:rPr>
          <w:rFonts w:ascii="Times New Roman" w:hAnsi="Times New Roman"/>
          <w:b/>
          <w:bCs/>
          <w:sz w:val="24"/>
          <w:szCs w:val="24"/>
          <w:lang w:val="fr-FR"/>
        </w:rPr>
        <w:t xml:space="preserve">2. </w:t>
      </w:r>
      <w:r w:rsidR="00197672">
        <w:rPr>
          <w:rFonts w:ascii="Times New Roman" w:hAnsi="Times New Roman"/>
          <w:b/>
          <w:bCs/>
          <w:sz w:val="24"/>
          <w:szCs w:val="24"/>
          <w:lang w:val="fr-FR"/>
        </w:rPr>
        <w:t>Deuxième phase</w:t>
      </w:r>
      <w:r w:rsidRPr="00904E71">
        <w:rPr>
          <w:rFonts w:ascii="Times New Roman" w:hAnsi="Times New Roman"/>
          <w:b/>
          <w:bCs/>
          <w:sz w:val="24"/>
          <w:szCs w:val="24"/>
          <w:lang w:val="fr-FR"/>
        </w:rPr>
        <w:t>. L’</w:t>
      </w:r>
      <w:r w:rsidR="00197672">
        <w:rPr>
          <w:rFonts w:ascii="Times New Roman" w:hAnsi="Times New Roman"/>
          <w:b/>
          <w:bCs/>
          <w:sz w:val="24"/>
          <w:szCs w:val="24"/>
          <w:lang w:val="fr-FR"/>
        </w:rPr>
        <w:t>enquête</w:t>
      </w:r>
    </w:p>
    <w:p w:rsidR="00F1729B" w:rsidRPr="008F47C8" w:rsidRDefault="00F1729B" w:rsidP="008E41C6">
      <w:pPr>
        <w:pStyle w:val="CorpoA"/>
        <w:ind w:firstLine="284"/>
        <w:jc w:val="both"/>
        <w:rPr>
          <w:rFonts w:ascii="Times New Roman" w:hAnsi="Times New Roman"/>
          <w:color w:val="auto"/>
          <w:sz w:val="8"/>
          <w:szCs w:val="8"/>
          <w:lang w:val="fr-FR"/>
        </w:rPr>
      </w:pPr>
    </w:p>
    <w:p w:rsidR="001C6C60" w:rsidRDefault="00E25716" w:rsidP="008E41C6">
      <w:pPr>
        <w:pStyle w:val="CorpoA"/>
        <w:ind w:firstLine="284"/>
        <w:jc w:val="both"/>
        <w:rPr>
          <w:rFonts w:ascii="Times New Roman" w:hAnsi="Times New Roman"/>
          <w:iCs/>
          <w:color w:val="auto"/>
          <w:sz w:val="24"/>
          <w:szCs w:val="24"/>
          <w:lang w:val="fr-FR"/>
        </w:rPr>
      </w:pPr>
      <w:r w:rsidRPr="00E25716">
        <w:rPr>
          <w:rFonts w:ascii="Times New Roman" w:hAnsi="Times New Roman"/>
          <w:color w:val="auto"/>
          <w:sz w:val="24"/>
          <w:szCs w:val="24"/>
          <w:lang w:val="fr-FR"/>
        </w:rPr>
        <w:t>Dans</w:t>
      </w:r>
      <w:r w:rsidR="004A56BB" w:rsidRPr="00E25716">
        <w:rPr>
          <w:rFonts w:ascii="Times New Roman" w:hAnsi="Times New Roman"/>
          <w:color w:val="auto"/>
          <w:sz w:val="24"/>
          <w:szCs w:val="24"/>
          <w:lang w:val="fr-FR"/>
        </w:rPr>
        <w:t xml:space="preserve"> cette deuxième phase, l’</w:t>
      </w:r>
      <w:r w:rsidRPr="00E25716">
        <w:rPr>
          <w:rFonts w:ascii="Times New Roman" w:hAnsi="Times New Roman"/>
          <w:color w:val="auto"/>
          <w:sz w:val="24"/>
          <w:szCs w:val="24"/>
          <w:lang w:val="fr-FR"/>
        </w:rPr>
        <w:t>I</w:t>
      </w:r>
      <w:r w:rsidR="004A56BB" w:rsidRPr="00E25716">
        <w:rPr>
          <w:rFonts w:ascii="Times New Roman" w:hAnsi="Times New Roman"/>
          <w:color w:val="auto"/>
          <w:sz w:val="24"/>
          <w:szCs w:val="24"/>
          <w:lang w:val="fr-FR"/>
        </w:rPr>
        <w:t xml:space="preserve">nstructeur, assisté du </w:t>
      </w:r>
      <w:r w:rsidRPr="00E25716">
        <w:rPr>
          <w:rFonts w:ascii="Times New Roman" w:hAnsi="Times New Roman"/>
          <w:color w:val="auto"/>
          <w:sz w:val="24"/>
          <w:szCs w:val="24"/>
          <w:lang w:val="fr-FR"/>
        </w:rPr>
        <w:t>N</w:t>
      </w:r>
      <w:r w:rsidR="004A56BB" w:rsidRPr="00E25716">
        <w:rPr>
          <w:rFonts w:ascii="Times New Roman" w:hAnsi="Times New Roman"/>
          <w:color w:val="auto"/>
          <w:sz w:val="24"/>
          <w:szCs w:val="24"/>
          <w:lang w:val="fr-FR"/>
        </w:rPr>
        <w:t>otaire, recueille les informations nécessaires pour déterminer si la</w:t>
      </w:r>
      <w:r w:rsidR="004A56BB" w:rsidRPr="00E25716">
        <w:rPr>
          <w:rFonts w:ascii="Times New Roman" w:hAnsi="Times New Roman"/>
          <w:i/>
          <w:iCs/>
          <w:color w:val="auto"/>
          <w:sz w:val="24"/>
          <w:szCs w:val="24"/>
          <w:lang w:val="fr-FR"/>
        </w:rPr>
        <w:t xml:space="preserve"> </w:t>
      </w:r>
      <w:r w:rsidR="004A56BB" w:rsidRPr="00E25716">
        <w:rPr>
          <w:rFonts w:ascii="Times New Roman" w:hAnsi="Times New Roman"/>
          <w:i/>
          <w:iCs/>
          <w:color w:val="auto"/>
          <w:sz w:val="24"/>
          <w:szCs w:val="24"/>
          <w:lang w:val="fr-FR"/>
        </w:rPr>
        <w:t>noti</w:t>
      </w:r>
      <w:r w:rsidR="00F1729B">
        <w:rPr>
          <w:rFonts w:ascii="Times New Roman" w:hAnsi="Times New Roman"/>
          <w:i/>
          <w:iCs/>
          <w:color w:val="auto"/>
          <w:sz w:val="24"/>
          <w:szCs w:val="24"/>
          <w:lang w:val="fr-FR"/>
        </w:rPr>
        <w:t>t</w:t>
      </w:r>
      <w:r w:rsidR="004A56BB" w:rsidRPr="00E25716">
        <w:rPr>
          <w:rFonts w:ascii="Times New Roman" w:hAnsi="Times New Roman"/>
          <w:i/>
          <w:iCs/>
          <w:color w:val="auto"/>
          <w:sz w:val="24"/>
          <w:szCs w:val="24"/>
          <w:lang w:val="fr-FR"/>
        </w:rPr>
        <w:t>ia criminis</w:t>
      </w:r>
      <w:r w:rsidR="004A56BB" w:rsidRPr="00E25716">
        <w:rPr>
          <w:rFonts w:ascii="Times New Roman" w:hAnsi="Times New Roman"/>
          <w:i/>
          <w:iCs/>
          <w:color w:val="auto"/>
          <w:sz w:val="24"/>
          <w:szCs w:val="24"/>
          <w:lang w:val="fr-FR"/>
        </w:rPr>
        <w:t xml:space="preserve"> </w:t>
      </w:r>
      <w:r w:rsidR="004A56BB" w:rsidRPr="00E25716">
        <w:rPr>
          <w:rFonts w:ascii="Times New Roman" w:hAnsi="Times New Roman"/>
          <w:iCs/>
          <w:color w:val="auto"/>
          <w:sz w:val="24"/>
          <w:szCs w:val="24"/>
          <w:lang w:val="fr-FR"/>
        </w:rPr>
        <w:t>a un bien-fondé raisonnable</w:t>
      </w:r>
      <w:r w:rsidR="00F1729B" w:rsidRPr="00F1729B">
        <w:rPr>
          <w:rFonts w:ascii="Times New Roman" w:hAnsi="Times New Roman"/>
          <w:iCs/>
          <w:color w:val="auto"/>
          <w:sz w:val="24"/>
          <w:szCs w:val="24"/>
          <w:lang w:val="fr-FR"/>
        </w:rPr>
        <w:t xml:space="preserve"> </w:t>
      </w:r>
      <w:r w:rsidR="00F1729B" w:rsidRPr="00E25716">
        <w:rPr>
          <w:rFonts w:ascii="Times New Roman" w:hAnsi="Times New Roman"/>
          <w:iCs/>
          <w:color w:val="auto"/>
          <w:sz w:val="24"/>
          <w:szCs w:val="24"/>
          <w:lang w:val="fr-FR"/>
        </w:rPr>
        <w:t>ou non</w:t>
      </w:r>
      <w:r w:rsidR="004A56BB" w:rsidRPr="00E25716">
        <w:rPr>
          <w:rFonts w:ascii="Times New Roman" w:hAnsi="Times New Roman"/>
          <w:iCs/>
          <w:color w:val="auto"/>
          <w:sz w:val="24"/>
          <w:szCs w:val="24"/>
          <w:lang w:val="fr-FR"/>
        </w:rPr>
        <w:t>. Il devra en particulier vérifier l’exactitude des faits, les circonstances et l’imputabilité au confrère. Différentes actions sont prévues</w:t>
      </w:r>
    </w:p>
    <w:p w:rsidR="00E25716" w:rsidRPr="00E25716" w:rsidRDefault="00E25716" w:rsidP="008E41C6">
      <w:pPr>
        <w:pStyle w:val="CorpoA"/>
        <w:ind w:firstLine="284"/>
        <w:jc w:val="both"/>
        <w:rPr>
          <w:rFonts w:ascii="Times New Roman" w:hAnsi="Times New Roman"/>
          <w:color w:val="auto"/>
          <w:sz w:val="8"/>
          <w:szCs w:val="8"/>
          <w:lang w:val="fr-FR"/>
        </w:rPr>
      </w:pPr>
    </w:p>
    <w:p w:rsidR="001C6C60" w:rsidRPr="008E41C6" w:rsidRDefault="007B1BE9" w:rsidP="008E41C6">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2.1 </w:t>
      </w:r>
      <w:r w:rsidR="00E25716" w:rsidRPr="008E41C6">
        <w:rPr>
          <w:rFonts w:ascii="Times New Roman" w:hAnsi="Times New Roman"/>
          <w:color w:val="auto"/>
          <w:sz w:val="24"/>
          <w:szCs w:val="24"/>
          <w:lang w:val="fr-FR"/>
        </w:rPr>
        <w:t>C</w:t>
      </w:r>
      <w:r w:rsidR="004A56BB" w:rsidRPr="008E41C6">
        <w:rPr>
          <w:rFonts w:ascii="Times New Roman" w:hAnsi="Times New Roman"/>
          <w:color w:val="auto"/>
          <w:sz w:val="24"/>
          <w:szCs w:val="24"/>
          <w:lang w:val="fr-FR"/>
        </w:rPr>
        <w:t xml:space="preserve">onvocation et interrogatoire du dénonciateur </w:t>
      </w:r>
      <w:r w:rsidR="008F47C8">
        <w:rPr>
          <w:rFonts w:ascii="Times New Roman" w:hAnsi="Times New Roman"/>
          <w:color w:val="auto"/>
          <w:sz w:val="24"/>
          <w:szCs w:val="24"/>
          <w:lang w:val="fr-FR"/>
        </w:rPr>
        <w:t xml:space="preserve"> </w:t>
      </w:r>
    </w:p>
    <w:p w:rsidR="001C6C60" w:rsidRPr="008E41C6" w:rsidRDefault="007B1BE9" w:rsidP="008E41C6">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2.2 </w:t>
      </w:r>
      <w:r w:rsidR="004A56BB" w:rsidRPr="008E41C6">
        <w:rPr>
          <w:rFonts w:ascii="Times New Roman" w:hAnsi="Times New Roman"/>
          <w:color w:val="auto"/>
          <w:sz w:val="24"/>
          <w:szCs w:val="24"/>
          <w:lang w:val="fr-FR"/>
        </w:rPr>
        <w:t xml:space="preserve">Convocation et interrogatoire des témoins </w:t>
      </w:r>
    </w:p>
    <w:p w:rsidR="001C6C60" w:rsidRPr="008E41C6" w:rsidRDefault="007B1BE9" w:rsidP="008C102C">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2.3 </w:t>
      </w:r>
      <w:r w:rsidR="00E25716" w:rsidRPr="008E41C6">
        <w:rPr>
          <w:rFonts w:ascii="Times New Roman" w:hAnsi="Times New Roman"/>
          <w:color w:val="auto"/>
          <w:sz w:val="24"/>
          <w:szCs w:val="24"/>
          <w:lang w:val="fr-FR"/>
        </w:rPr>
        <w:t>Recueil</w:t>
      </w:r>
      <w:r w:rsidR="004A56BB" w:rsidRPr="008E41C6">
        <w:rPr>
          <w:rFonts w:ascii="Times New Roman" w:hAnsi="Times New Roman"/>
          <w:color w:val="auto"/>
          <w:sz w:val="24"/>
          <w:szCs w:val="24"/>
          <w:lang w:val="fr-FR"/>
        </w:rPr>
        <w:t xml:space="preserve"> et vérification d’autres éléments de preuve </w:t>
      </w:r>
    </w:p>
    <w:p w:rsidR="001C6C60" w:rsidRPr="008E41C6" w:rsidRDefault="007B1BE9" w:rsidP="008C102C">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2.4 </w:t>
      </w:r>
      <w:r w:rsidR="00E25716" w:rsidRPr="008E41C6">
        <w:rPr>
          <w:rFonts w:ascii="Times New Roman" w:hAnsi="Times New Roman"/>
          <w:color w:val="auto"/>
          <w:sz w:val="24"/>
          <w:szCs w:val="24"/>
          <w:lang w:val="fr-FR"/>
        </w:rPr>
        <w:t>Convocation</w:t>
      </w:r>
      <w:r w:rsidR="004A56BB" w:rsidRPr="008E41C6">
        <w:rPr>
          <w:rFonts w:ascii="Times New Roman" w:hAnsi="Times New Roman"/>
          <w:color w:val="auto"/>
          <w:sz w:val="24"/>
          <w:szCs w:val="24"/>
          <w:lang w:val="fr-FR"/>
        </w:rPr>
        <w:t xml:space="preserve"> et interrogatoire du confrère mis en examen </w:t>
      </w:r>
    </w:p>
    <w:p w:rsidR="001C6C60" w:rsidRPr="008E41C6" w:rsidRDefault="007B1BE9" w:rsidP="008C102C">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2.5 </w:t>
      </w:r>
      <w:r w:rsidR="00E25716" w:rsidRPr="008E41C6">
        <w:rPr>
          <w:rFonts w:ascii="Times New Roman" w:hAnsi="Times New Roman"/>
          <w:color w:val="auto"/>
          <w:sz w:val="24"/>
          <w:szCs w:val="24"/>
          <w:lang w:val="fr-FR"/>
        </w:rPr>
        <w:t>Rapport</w:t>
      </w:r>
      <w:r w:rsidR="004A56BB" w:rsidRPr="008E41C6">
        <w:rPr>
          <w:rFonts w:ascii="Times New Roman" w:hAnsi="Times New Roman"/>
          <w:color w:val="auto"/>
          <w:sz w:val="24"/>
          <w:szCs w:val="24"/>
          <w:lang w:val="fr-FR"/>
        </w:rPr>
        <w:t xml:space="preserve"> de l’</w:t>
      </w:r>
      <w:r w:rsidR="00E25716" w:rsidRPr="008E41C6">
        <w:rPr>
          <w:rFonts w:ascii="Times New Roman" w:hAnsi="Times New Roman"/>
          <w:color w:val="auto"/>
          <w:sz w:val="24"/>
          <w:szCs w:val="24"/>
          <w:lang w:val="fr-FR"/>
        </w:rPr>
        <w:t>I</w:t>
      </w:r>
      <w:r w:rsidR="004A56BB" w:rsidRPr="008E41C6">
        <w:rPr>
          <w:rFonts w:ascii="Times New Roman" w:hAnsi="Times New Roman"/>
          <w:color w:val="auto"/>
          <w:sz w:val="24"/>
          <w:szCs w:val="24"/>
          <w:lang w:val="fr-FR"/>
        </w:rPr>
        <w:t xml:space="preserve">nstructeur </w:t>
      </w:r>
    </w:p>
    <w:p w:rsidR="001C6C60" w:rsidRPr="008E41C6" w:rsidRDefault="007B1BE9" w:rsidP="008C102C">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2.6 </w:t>
      </w:r>
      <w:r w:rsidR="00E25716" w:rsidRPr="008E41C6">
        <w:rPr>
          <w:rFonts w:ascii="Times New Roman" w:hAnsi="Times New Roman"/>
          <w:color w:val="auto"/>
          <w:sz w:val="24"/>
          <w:szCs w:val="24"/>
          <w:lang w:val="fr-FR"/>
        </w:rPr>
        <w:t>Temps</w:t>
      </w:r>
      <w:r w:rsidR="004A56BB" w:rsidRPr="008E41C6">
        <w:rPr>
          <w:rFonts w:ascii="Times New Roman" w:hAnsi="Times New Roman"/>
          <w:color w:val="auto"/>
          <w:sz w:val="24"/>
          <w:szCs w:val="24"/>
          <w:lang w:val="fr-FR"/>
        </w:rPr>
        <w:t xml:space="preserve"> de l’enquête </w:t>
      </w:r>
    </w:p>
    <w:p w:rsidR="001C6C60" w:rsidRPr="00E25716" w:rsidRDefault="001C6C60" w:rsidP="008C102C">
      <w:pPr>
        <w:pStyle w:val="DidefaultA"/>
        <w:jc w:val="both"/>
        <w:rPr>
          <w:rFonts w:ascii="Times New Roman" w:eastAsia="Times New Roman" w:hAnsi="Times New Roman" w:cs="Times New Roman"/>
          <w:sz w:val="24"/>
          <w:szCs w:val="24"/>
          <w:lang w:val="fr-FR"/>
        </w:rPr>
      </w:pPr>
    </w:p>
    <w:p w:rsidR="001C6C60" w:rsidRDefault="007B1BE9" w:rsidP="008C102C">
      <w:pPr>
        <w:pStyle w:val="DidefaultA"/>
        <w:jc w:val="both"/>
        <w:rPr>
          <w:rFonts w:ascii="Times New Roman" w:hAnsi="Times New Roman"/>
          <w:b/>
          <w:bCs/>
          <w:sz w:val="24"/>
          <w:szCs w:val="24"/>
          <w:lang w:val="fr-FR"/>
        </w:rPr>
      </w:pPr>
      <w:r w:rsidRPr="00904E71">
        <w:rPr>
          <w:rFonts w:ascii="Times New Roman" w:hAnsi="Times New Roman"/>
          <w:b/>
          <w:bCs/>
          <w:sz w:val="24"/>
          <w:szCs w:val="24"/>
          <w:lang w:val="fr-FR"/>
        </w:rPr>
        <w:t xml:space="preserve">3. </w:t>
      </w:r>
      <w:r w:rsidR="004A56BB">
        <w:rPr>
          <w:rFonts w:ascii="Times New Roman" w:hAnsi="Times New Roman"/>
          <w:b/>
          <w:bCs/>
          <w:sz w:val="24"/>
          <w:szCs w:val="24"/>
          <w:lang w:val="fr-FR"/>
        </w:rPr>
        <w:t>Troisième phase</w:t>
      </w:r>
      <w:r w:rsidRPr="00904E71">
        <w:rPr>
          <w:rFonts w:ascii="Times New Roman" w:hAnsi="Times New Roman"/>
          <w:b/>
          <w:bCs/>
          <w:sz w:val="24"/>
          <w:szCs w:val="24"/>
          <w:lang w:val="fr-FR"/>
        </w:rPr>
        <w:t xml:space="preserve">. </w:t>
      </w:r>
      <w:r w:rsidR="004A56BB">
        <w:rPr>
          <w:rFonts w:ascii="Times New Roman" w:hAnsi="Times New Roman"/>
          <w:b/>
          <w:bCs/>
          <w:sz w:val="24"/>
          <w:szCs w:val="24"/>
          <w:lang w:val="fr-FR"/>
        </w:rPr>
        <w:t xml:space="preserve">L’évaluation des résultats de l’enquête </w:t>
      </w:r>
    </w:p>
    <w:p w:rsidR="004A56BB" w:rsidRPr="008E41C6" w:rsidRDefault="004A56BB" w:rsidP="008C102C">
      <w:pPr>
        <w:pStyle w:val="DidefaultA"/>
        <w:jc w:val="both"/>
        <w:rPr>
          <w:rFonts w:ascii="Times New Roman" w:hAnsi="Times New Roman"/>
          <w:b/>
          <w:bCs/>
          <w:color w:val="auto"/>
          <w:sz w:val="8"/>
          <w:szCs w:val="8"/>
          <w:lang w:val="fr-FR"/>
        </w:rPr>
      </w:pPr>
    </w:p>
    <w:p w:rsidR="004A56BB" w:rsidRPr="008E41C6" w:rsidRDefault="004A56BB" w:rsidP="008E41C6">
      <w:pPr>
        <w:pStyle w:val="DidefaultA"/>
        <w:ind w:firstLine="284"/>
        <w:jc w:val="both"/>
        <w:rPr>
          <w:rFonts w:ascii="Times New Roman" w:eastAsia="Times New Roman" w:hAnsi="Times New Roman" w:cs="Times New Roman"/>
          <w:bCs/>
          <w:color w:val="auto"/>
          <w:sz w:val="24"/>
          <w:szCs w:val="24"/>
          <w:lang w:val="fr-FR"/>
        </w:rPr>
      </w:pPr>
      <w:r w:rsidRPr="008E41C6">
        <w:rPr>
          <w:rFonts w:ascii="Times New Roman" w:eastAsia="Times New Roman" w:hAnsi="Times New Roman" w:cs="Times New Roman"/>
          <w:bCs/>
          <w:color w:val="auto"/>
          <w:sz w:val="24"/>
          <w:szCs w:val="24"/>
          <w:lang w:val="fr-FR"/>
        </w:rPr>
        <w:t>En remettant les actes de l’enquête et son rapport, l’</w:t>
      </w:r>
      <w:r w:rsidR="008E41C6" w:rsidRPr="008E41C6">
        <w:rPr>
          <w:rFonts w:ascii="Times New Roman" w:eastAsia="Times New Roman" w:hAnsi="Times New Roman" w:cs="Times New Roman"/>
          <w:bCs/>
          <w:color w:val="auto"/>
          <w:sz w:val="24"/>
          <w:szCs w:val="24"/>
          <w:lang w:val="fr-FR"/>
        </w:rPr>
        <w:t>I</w:t>
      </w:r>
      <w:r w:rsidRPr="008E41C6">
        <w:rPr>
          <w:rFonts w:ascii="Times New Roman" w:eastAsia="Times New Roman" w:hAnsi="Times New Roman" w:cs="Times New Roman"/>
          <w:bCs/>
          <w:color w:val="auto"/>
          <w:sz w:val="24"/>
          <w:szCs w:val="24"/>
          <w:lang w:val="fr-FR"/>
        </w:rPr>
        <w:t xml:space="preserve">nstructeur achève sa tâche, étant sauve une demande ultérieure de supplément d’enquête. Le </w:t>
      </w:r>
      <w:r w:rsidR="008E41C6" w:rsidRPr="008E41C6">
        <w:rPr>
          <w:rFonts w:ascii="Times New Roman" w:eastAsia="Times New Roman" w:hAnsi="Times New Roman" w:cs="Times New Roman"/>
          <w:bCs/>
          <w:color w:val="auto"/>
          <w:sz w:val="24"/>
          <w:szCs w:val="24"/>
          <w:lang w:val="fr-FR"/>
        </w:rPr>
        <w:t>P</w:t>
      </w:r>
      <w:r w:rsidRPr="008E41C6">
        <w:rPr>
          <w:rFonts w:ascii="Times New Roman" w:eastAsia="Times New Roman" w:hAnsi="Times New Roman" w:cs="Times New Roman"/>
          <w:bCs/>
          <w:color w:val="auto"/>
          <w:sz w:val="24"/>
          <w:szCs w:val="24"/>
          <w:lang w:val="fr-FR"/>
        </w:rPr>
        <w:t xml:space="preserve">rovincial, qui demeure toujours le responsable de la procédure lancée, a un rôle central dans cette troisième phase pour les actes qu’il pose et les décisions qu’il </w:t>
      </w:r>
      <w:r w:rsidR="008E41C6">
        <w:rPr>
          <w:rFonts w:ascii="Times New Roman" w:eastAsia="Times New Roman" w:hAnsi="Times New Roman" w:cs="Times New Roman"/>
          <w:bCs/>
          <w:color w:val="auto"/>
          <w:sz w:val="24"/>
          <w:szCs w:val="24"/>
          <w:lang w:val="fr-FR"/>
        </w:rPr>
        <w:t>prend</w:t>
      </w:r>
      <w:r w:rsidRPr="008E41C6">
        <w:rPr>
          <w:rFonts w:ascii="Times New Roman" w:eastAsia="Times New Roman" w:hAnsi="Times New Roman" w:cs="Times New Roman"/>
          <w:bCs/>
          <w:color w:val="auto"/>
          <w:sz w:val="24"/>
          <w:szCs w:val="24"/>
          <w:lang w:val="fr-FR"/>
        </w:rPr>
        <w:t>.</w:t>
      </w:r>
    </w:p>
    <w:p w:rsidR="001C6C60" w:rsidRPr="008E41C6" w:rsidRDefault="001C6C60" w:rsidP="008C102C">
      <w:pPr>
        <w:pStyle w:val="CorpoA"/>
        <w:jc w:val="both"/>
        <w:rPr>
          <w:rFonts w:ascii="Times New Roman" w:eastAsia="Times New Roman" w:hAnsi="Times New Roman" w:cs="Times New Roman"/>
          <w:color w:val="FF0000"/>
          <w:sz w:val="8"/>
          <w:szCs w:val="8"/>
          <w:lang w:val="fr-FR"/>
        </w:rPr>
      </w:pPr>
    </w:p>
    <w:p w:rsidR="001C6C60" w:rsidRPr="008E41C6" w:rsidRDefault="007B1BE9" w:rsidP="008C102C">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3.1 </w:t>
      </w:r>
      <w:r w:rsidR="008E41C6" w:rsidRPr="008E41C6">
        <w:rPr>
          <w:rFonts w:ascii="Times New Roman" w:hAnsi="Times New Roman"/>
          <w:color w:val="auto"/>
          <w:sz w:val="24"/>
          <w:szCs w:val="24"/>
          <w:lang w:val="fr-FR"/>
        </w:rPr>
        <w:t>É</w:t>
      </w:r>
      <w:r w:rsidR="00E662FA" w:rsidRPr="008E41C6">
        <w:rPr>
          <w:rFonts w:ascii="Times New Roman" w:hAnsi="Times New Roman"/>
          <w:color w:val="auto"/>
          <w:sz w:val="24"/>
          <w:szCs w:val="24"/>
          <w:lang w:val="fr-FR"/>
        </w:rPr>
        <w:t xml:space="preserve">tude et évaluation des actes </w:t>
      </w:r>
    </w:p>
    <w:p w:rsidR="001C6C60" w:rsidRPr="008E41C6" w:rsidRDefault="007B1BE9" w:rsidP="008C102C">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3.2 </w:t>
      </w:r>
      <w:r w:rsidR="008E41C6" w:rsidRPr="008E41C6">
        <w:rPr>
          <w:rFonts w:ascii="Times New Roman" w:hAnsi="Times New Roman"/>
          <w:color w:val="auto"/>
          <w:sz w:val="24"/>
          <w:szCs w:val="24"/>
          <w:lang w:val="fr-FR"/>
        </w:rPr>
        <w:t>Décret</w:t>
      </w:r>
      <w:r w:rsidR="00E662FA" w:rsidRPr="008E41C6">
        <w:rPr>
          <w:rFonts w:ascii="Times New Roman" w:hAnsi="Times New Roman"/>
          <w:color w:val="auto"/>
          <w:sz w:val="24"/>
          <w:szCs w:val="24"/>
          <w:lang w:val="fr-FR"/>
        </w:rPr>
        <w:t xml:space="preserve"> de clôture de l’enquête ou demande d’un supplément d’enquête </w:t>
      </w:r>
    </w:p>
    <w:p w:rsidR="00E662FA" w:rsidRPr="008E41C6" w:rsidRDefault="007B1BE9" w:rsidP="008C102C">
      <w:pPr>
        <w:pStyle w:val="DidefaultA"/>
        <w:jc w:val="both"/>
        <w:rPr>
          <w:rFonts w:ascii="Times New Roman" w:hAnsi="Times New Roman"/>
          <w:color w:val="auto"/>
          <w:sz w:val="24"/>
          <w:szCs w:val="24"/>
          <w:lang w:val="fr-FR"/>
        </w:rPr>
      </w:pPr>
      <w:r w:rsidRPr="008E41C6">
        <w:rPr>
          <w:rFonts w:ascii="Times New Roman" w:hAnsi="Times New Roman"/>
          <w:color w:val="auto"/>
          <w:sz w:val="24"/>
          <w:szCs w:val="24"/>
          <w:lang w:val="fr-FR"/>
        </w:rPr>
        <w:t xml:space="preserve">3.3 </w:t>
      </w:r>
      <w:r w:rsidR="008E41C6" w:rsidRPr="008E41C6">
        <w:rPr>
          <w:rFonts w:ascii="Times New Roman" w:hAnsi="Times New Roman"/>
          <w:color w:val="auto"/>
          <w:sz w:val="24"/>
          <w:szCs w:val="24"/>
          <w:lang w:val="fr-FR"/>
        </w:rPr>
        <w:t>Examen</w:t>
      </w:r>
      <w:r w:rsidR="00E662FA" w:rsidRPr="008E41C6">
        <w:rPr>
          <w:rFonts w:ascii="Times New Roman" w:hAnsi="Times New Roman"/>
          <w:color w:val="auto"/>
          <w:sz w:val="24"/>
          <w:szCs w:val="24"/>
          <w:lang w:val="fr-FR"/>
        </w:rPr>
        <w:t xml:space="preserve"> des conclusions de l’enquête en </w:t>
      </w:r>
      <w:r w:rsidR="008E41C6" w:rsidRPr="008E41C6">
        <w:rPr>
          <w:rFonts w:ascii="Times New Roman" w:hAnsi="Times New Roman"/>
          <w:color w:val="auto"/>
          <w:sz w:val="24"/>
          <w:szCs w:val="24"/>
          <w:lang w:val="fr-FR"/>
        </w:rPr>
        <w:t>C</w:t>
      </w:r>
      <w:r w:rsidR="00E662FA" w:rsidRPr="008E41C6">
        <w:rPr>
          <w:rFonts w:ascii="Times New Roman" w:hAnsi="Times New Roman"/>
          <w:color w:val="auto"/>
          <w:sz w:val="24"/>
          <w:szCs w:val="24"/>
          <w:lang w:val="fr-FR"/>
        </w:rPr>
        <w:t xml:space="preserve">onseil </w:t>
      </w:r>
      <w:r w:rsidR="008E41C6" w:rsidRPr="008E41C6">
        <w:rPr>
          <w:rFonts w:ascii="Times New Roman" w:hAnsi="Times New Roman"/>
          <w:color w:val="auto"/>
          <w:sz w:val="24"/>
          <w:szCs w:val="24"/>
          <w:lang w:val="fr-FR"/>
        </w:rPr>
        <w:t>P</w:t>
      </w:r>
      <w:r w:rsidR="00E662FA" w:rsidRPr="008E41C6">
        <w:rPr>
          <w:rFonts w:ascii="Times New Roman" w:hAnsi="Times New Roman"/>
          <w:color w:val="auto"/>
          <w:sz w:val="24"/>
          <w:szCs w:val="24"/>
          <w:lang w:val="fr-FR"/>
        </w:rPr>
        <w:t xml:space="preserve">rovincial </w:t>
      </w:r>
    </w:p>
    <w:p w:rsidR="001C6C60" w:rsidRPr="008E41C6" w:rsidRDefault="007B1BE9" w:rsidP="008C102C">
      <w:pPr>
        <w:pStyle w:val="DidefaultA"/>
        <w:jc w:val="both"/>
        <w:rPr>
          <w:rFonts w:ascii="Times New Roman" w:eastAsia="Times New Roman" w:hAnsi="Times New Roman" w:cs="Times New Roman"/>
          <w:color w:val="auto"/>
          <w:sz w:val="24"/>
          <w:szCs w:val="24"/>
          <w:lang w:val="fr-FR"/>
        </w:rPr>
      </w:pPr>
      <w:r w:rsidRPr="008E41C6">
        <w:rPr>
          <w:rFonts w:ascii="Times New Roman" w:hAnsi="Times New Roman"/>
          <w:color w:val="auto"/>
          <w:sz w:val="24"/>
          <w:szCs w:val="24"/>
          <w:lang w:val="fr-FR"/>
        </w:rPr>
        <w:t xml:space="preserve">3.4 </w:t>
      </w:r>
      <w:r w:rsidR="008E41C6" w:rsidRPr="008E41C6">
        <w:rPr>
          <w:rFonts w:ascii="Times New Roman" w:hAnsi="Times New Roman"/>
          <w:color w:val="auto"/>
          <w:sz w:val="24"/>
          <w:szCs w:val="24"/>
          <w:lang w:val="fr-FR"/>
        </w:rPr>
        <w:t>Avis</w:t>
      </w:r>
      <w:r w:rsidR="00E662FA" w:rsidRPr="008E41C6">
        <w:rPr>
          <w:rFonts w:ascii="Times New Roman" w:hAnsi="Times New Roman"/>
          <w:color w:val="auto"/>
          <w:sz w:val="24"/>
          <w:szCs w:val="24"/>
          <w:lang w:val="fr-FR"/>
        </w:rPr>
        <w:t xml:space="preserve"> du </w:t>
      </w:r>
      <w:r w:rsidR="008E41C6" w:rsidRPr="008E41C6">
        <w:rPr>
          <w:rFonts w:ascii="Times New Roman" w:hAnsi="Times New Roman"/>
          <w:color w:val="auto"/>
          <w:sz w:val="24"/>
          <w:szCs w:val="24"/>
          <w:lang w:val="fr-FR"/>
        </w:rPr>
        <w:t>C</w:t>
      </w:r>
      <w:r w:rsidR="00E662FA" w:rsidRPr="008E41C6">
        <w:rPr>
          <w:rFonts w:ascii="Times New Roman" w:hAnsi="Times New Roman"/>
          <w:color w:val="auto"/>
          <w:sz w:val="24"/>
          <w:szCs w:val="24"/>
          <w:lang w:val="fr-FR"/>
        </w:rPr>
        <w:t xml:space="preserve">onseil </w:t>
      </w:r>
      <w:r w:rsidR="008E41C6" w:rsidRPr="008E41C6">
        <w:rPr>
          <w:rFonts w:ascii="Times New Roman" w:hAnsi="Times New Roman"/>
          <w:color w:val="auto"/>
          <w:sz w:val="24"/>
          <w:szCs w:val="24"/>
          <w:lang w:val="fr-FR"/>
        </w:rPr>
        <w:t>P</w:t>
      </w:r>
      <w:r w:rsidR="00E662FA" w:rsidRPr="008E41C6">
        <w:rPr>
          <w:rFonts w:ascii="Times New Roman" w:hAnsi="Times New Roman"/>
          <w:color w:val="auto"/>
          <w:sz w:val="24"/>
          <w:szCs w:val="24"/>
          <w:lang w:val="fr-FR"/>
        </w:rPr>
        <w:t>rovincial</w:t>
      </w:r>
    </w:p>
    <w:p w:rsidR="00E662FA" w:rsidRPr="008E41C6" w:rsidRDefault="007B1BE9" w:rsidP="008C102C">
      <w:pPr>
        <w:pStyle w:val="DidefaultA"/>
        <w:jc w:val="both"/>
        <w:rPr>
          <w:rFonts w:ascii="Times New Roman" w:hAnsi="Times New Roman"/>
          <w:color w:val="auto"/>
          <w:sz w:val="24"/>
          <w:szCs w:val="24"/>
          <w:lang w:val="fr-FR"/>
        </w:rPr>
      </w:pPr>
      <w:r w:rsidRPr="008E41C6">
        <w:rPr>
          <w:rFonts w:ascii="Times New Roman" w:hAnsi="Times New Roman"/>
          <w:color w:val="auto"/>
          <w:sz w:val="24"/>
          <w:szCs w:val="24"/>
          <w:lang w:val="fr-FR"/>
        </w:rPr>
        <w:t xml:space="preserve">3.5 </w:t>
      </w:r>
      <w:r w:rsidR="008E41C6" w:rsidRPr="008E41C6">
        <w:rPr>
          <w:rFonts w:ascii="Times New Roman" w:hAnsi="Times New Roman"/>
          <w:color w:val="auto"/>
          <w:sz w:val="24"/>
          <w:szCs w:val="24"/>
          <w:lang w:val="fr-FR"/>
        </w:rPr>
        <w:t>Décision</w:t>
      </w:r>
      <w:r w:rsidR="00E662FA" w:rsidRPr="008E41C6">
        <w:rPr>
          <w:rFonts w:ascii="Times New Roman" w:hAnsi="Times New Roman"/>
          <w:color w:val="auto"/>
          <w:sz w:val="24"/>
          <w:szCs w:val="24"/>
          <w:lang w:val="fr-FR"/>
        </w:rPr>
        <w:t xml:space="preserve"> du </w:t>
      </w:r>
      <w:r w:rsidR="008E41C6" w:rsidRPr="008E41C6">
        <w:rPr>
          <w:rFonts w:ascii="Times New Roman" w:hAnsi="Times New Roman"/>
          <w:color w:val="auto"/>
          <w:sz w:val="24"/>
          <w:szCs w:val="24"/>
          <w:lang w:val="fr-FR"/>
        </w:rPr>
        <w:t>P</w:t>
      </w:r>
      <w:r w:rsidR="00E662FA" w:rsidRPr="008E41C6">
        <w:rPr>
          <w:rFonts w:ascii="Times New Roman" w:hAnsi="Times New Roman"/>
          <w:color w:val="auto"/>
          <w:sz w:val="24"/>
          <w:szCs w:val="24"/>
          <w:lang w:val="fr-FR"/>
        </w:rPr>
        <w:t xml:space="preserve">rovincial </w:t>
      </w:r>
      <w:r w:rsidR="00954FB0">
        <w:rPr>
          <w:rFonts w:ascii="Times New Roman" w:hAnsi="Times New Roman"/>
          <w:color w:val="auto"/>
          <w:sz w:val="24"/>
          <w:szCs w:val="24"/>
          <w:lang w:val="fr-FR"/>
        </w:rPr>
        <w:t>fixée dans un</w:t>
      </w:r>
      <w:r w:rsidR="00E662FA" w:rsidRPr="008E41C6">
        <w:rPr>
          <w:rFonts w:ascii="Times New Roman" w:hAnsi="Times New Roman"/>
          <w:color w:val="auto"/>
          <w:sz w:val="24"/>
          <w:szCs w:val="24"/>
          <w:lang w:val="fr-FR"/>
        </w:rPr>
        <w:t xml:space="preserve"> décret </w:t>
      </w:r>
    </w:p>
    <w:p w:rsidR="001C6C60" w:rsidRPr="008E41C6" w:rsidRDefault="007B1BE9" w:rsidP="008C102C">
      <w:pPr>
        <w:pStyle w:val="DidefaultA"/>
        <w:jc w:val="both"/>
        <w:rPr>
          <w:rFonts w:ascii="Times New Roman" w:hAnsi="Times New Roman"/>
          <w:color w:val="auto"/>
          <w:sz w:val="24"/>
          <w:szCs w:val="24"/>
          <w:lang w:val="fr-FR"/>
        </w:rPr>
      </w:pPr>
      <w:r w:rsidRPr="008E41C6">
        <w:rPr>
          <w:rFonts w:ascii="Times New Roman" w:hAnsi="Times New Roman"/>
          <w:color w:val="auto"/>
          <w:sz w:val="24"/>
          <w:szCs w:val="24"/>
          <w:lang w:val="fr-FR"/>
        </w:rPr>
        <w:t xml:space="preserve">3.6 </w:t>
      </w:r>
      <w:r w:rsidR="008E41C6" w:rsidRPr="008E41C6">
        <w:rPr>
          <w:rFonts w:ascii="Times New Roman" w:hAnsi="Times New Roman"/>
          <w:color w:val="auto"/>
          <w:sz w:val="24"/>
          <w:szCs w:val="24"/>
          <w:lang w:val="fr-FR"/>
        </w:rPr>
        <w:t>Envoi</w:t>
      </w:r>
      <w:r w:rsidR="00E662FA" w:rsidRPr="008E41C6">
        <w:rPr>
          <w:rFonts w:ascii="Times New Roman" w:hAnsi="Times New Roman"/>
          <w:color w:val="auto"/>
          <w:sz w:val="24"/>
          <w:szCs w:val="24"/>
          <w:lang w:val="fr-FR"/>
        </w:rPr>
        <w:t xml:space="preserve"> éventuel des actes </w:t>
      </w:r>
      <w:r w:rsidR="008E41C6" w:rsidRPr="008E41C6">
        <w:rPr>
          <w:rFonts w:ascii="Times New Roman" w:hAnsi="Times New Roman"/>
          <w:color w:val="auto"/>
          <w:sz w:val="24"/>
          <w:szCs w:val="24"/>
          <w:lang w:val="fr-FR"/>
        </w:rPr>
        <w:t xml:space="preserve">au </w:t>
      </w:r>
      <w:r w:rsidR="00E662FA" w:rsidRPr="008E41C6">
        <w:rPr>
          <w:rFonts w:ascii="Times New Roman" w:hAnsi="Times New Roman"/>
          <w:color w:val="auto"/>
          <w:sz w:val="24"/>
          <w:szCs w:val="24"/>
          <w:lang w:val="fr-FR"/>
        </w:rPr>
        <w:t xml:space="preserve">Recteur Majeur </w:t>
      </w:r>
    </w:p>
    <w:p w:rsidR="00E662FA" w:rsidRDefault="00E662FA" w:rsidP="008C102C">
      <w:pPr>
        <w:pStyle w:val="DidefaultA"/>
        <w:jc w:val="both"/>
        <w:rPr>
          <w:rFonts w:ascii="Times New Roman" w:hAnsi="Times New Roman"/>
          <w:sz w:val="24"/>
          <w:szCs w:val="24"/>
          <w:lang w:val="fr-FR"/>
        </w:rPr>
      </w:pPr>
    </w:p>
    <w:p w:rsidR="001C6C60" w:rsidRPr="00652590" w:rsidRDefault="00E662FA" w:rsidP="008E41C6">
      <w:pPr>
        <w:pStyle w:val="DidefaultA"/>
        <w:ind w:firstLine="284"/>
        <w:jc w:val="both"/>
        <w:rPr>
          <w:rFonts w:ascii="Times New Roman" w:eastAsia="Times New Roman" w:hAnsi="Times New Roman" w:cs="Times New Roman"/>
          <w:color w:val="FF0000"/>
          <w:sz w:val="24"/>
          <w:szCs w:val="24"/>
          <w:lang w:val="fr-FR"/>
        </w:rPr>
      </w:pPr>
      <w:r w:rsidRPr="008E41C6">
        <w:rPr>
          <w:rFonts w:ascii="Times New Roman" w:eastAsia="Times New Roman" w:hAnsi="Times New Roman" w:cs="Times New Roman"/>
          <w:color w:val="auto"/>
          <w:sz w:val="24"/>
          <w:szCs w:val="24"/>
          <w:lang w:val="fr-FR"/>
        </w:rPr>
        <w:t xml:space="preserve">Le </w:t>
      </w:r>
      <w:r w:rsidR="008E41C6" w:rsidRPr="008E41C6">
        <w:rPr>
          <w:rFonts w:ascii="Times New Roman" w:eastAsia="Times New Roman" w:hAnsi="Times New Roman" w:cs="Times New Roman"/>
          <w:color w:val="auto"/>
          <w:sz w:val="24"/>
          <w:szCs w:val="24"/>
          <w:lang w:val="fr-FR"/>
        </w:rPr>
        <w:t>V</w:t>
      </w:r>
      <w:r w:rsidRPr="008E41C6">
        <w:rPr>
          <w:rFonts w:ascii="Times New Roman" w:eastAsia="Times New Roman" w:hAnsi="Times New Roman" w:cs="Times New Roman"/>
          <w:color w:val="auto"/>
          <w:sz w:val="24"/>
          <w:szCs w:val="24"/>
          <w:lang w:val="fr-FR"/>
        </w:rPr>
        <w:t xml:space="preserve">ade-mecum contient ensuite une section dédiée aux </w:t>
      </w:r>
      <w:r w:rsidRPr="008E41C6">
        <w:rPr>
          <w:rFonts w:ascii="Times New Roman" w:eastAsia="Times New Roman" w:hAnsi="Times New Roman" w:cs="Times New Roman"/>
          <w:i/>
          <w:color w:val="auto"/>
          <w:sz w:val="24"/>
          <w:szCs w:val="24"/>
          <w:lang w:val="fr-FR"/>
        </w:rPr>
        <w:t xml:space="preserve">delicta graviora </w:t>
      </w:r>
      <w:r w:rsidRPr="008E41C6">
        <w:rPr>
          <w:rFonts w:ascii="Times New Roman" w:eastAsia="Times New Roman" w:hAnsi="Times New Roman" w:cs="Times New Roman"/>
          <w:color w:val="auto"/>
          <w:sz w:val="24"/>
          <w:szCs w:val="24"/>
          <w:lang w:val="fr-FR"/>
        </w:rPr>
        <w:t>[délits plus graves],</w:t>
      </w:r>
      <w:r w:rsidR="007B1BE9" w:rsidRPr="008E41C6">
        <w:rPr>
          <w:rFonts w:ascii="Times New Roman" w:eastAsia="Times New Roman" w:hAnsi="Times New Roman" w:cs="Times New Roman"/>
          <w:iCs/>
          <w:color w:val="auto"/>
          <w:sz w:val="24"/>
          <w:szCs w:val="24"/>
          <w:vertAlign w:val="superscript"/>
          <w:lang w:val="fr-FR"/>
        </w:rPr>
        <w:footnoteReference w:id="3"/>
      </w:r>
      <w:r w:rsidR="007B1BE9" w:rsidRPr="00E662FA">
        <w:rPr>
          <w:rFonts w:ascii="Times New Roman" w:hAnsi="Times New Roman"/>
          <w:sz w:val="24"/>
          <w:szCs w:val="24"/>
          <w:lang w:val="fr-FR"/>
        </w:rPr>
        <w:t xml:space="preserve"> </w:t>
      </w:r>
      <w:r w:rsidRPr="00E662FA">
        <w:rPr>
          <w:rFonts w:ascii="Times New Roman" w:hAnsi="Times New Roman"/>
          <w:sz w:val="24"/>
          <w:szCs w:val="24"/>
          <w:lang w:val="fr-FR"/>
        </w:rPr>
        <w:t xml:space="preserve">et </w:t>
      </w:r>
      <w:r w:rsidRPr="008E41C6">
        <w:rPr>
          <w:rFonts w:ascii="Times New Roman" w:hAnsi="Times New Roman"/>
          <w:color w:val="auto"/>
          <w:sz w:val="24"/>
          <w:szCs w:val="24"/>
          <w:lang w:val="fr-FR"/>
        </w:rPr>
        <w:t xml:space="preserve">à l’attention particulière à porter à chaque phase, en particulier </w:t>
      </w:r>
      <w:r w:rsidR="008E41C6" w:rsidRPr="008E41C6">
        <w:rPr>
          <w:rFonts w:ascii="Times New Roman" w:hAnsi="Times New Roman"/>
          <w:color w:val="auto"/>
          <w:sz w:val="24"/>
          <w:szCs w:val="24"/>
          <w:lang w:val="fr-FR"/>
        </w:rPr>
        <w:t xml:space="preserve">au fait </w:t>
      </w:r>
      <w:r w:rsidRPr="008E41C6">
        <w:rPr>
          <w:rFonts w:ascii="Times New Roman" w:hAnsi="Times New Roman"/>
          <w:color w:val="auto"/>
          <w:sz w:val="24"/>
          <w:szCs w:val="24"/>
          <w:lang w:val="fr-FR"/>
        </w:rPr>
        <w:t xml:space="preserve">que le </w:t>
      </w:r>
      <w:r w:rsidR="008E41C6" w:rsidRPr="008E41C6">
        <w:rPr>
          <w:rFonts w:ascii="Times New Roman" w:hAnsi="Times New Roman"/>
          <w:color w:val="auto"/>
          <w:sz w:val="24"/>
          <w:szCs w:val="24"/>
          <w:lang w:val="fr-FR"/>
        </w:rPr>
        <w:t>V</w:t>
      </w:r>
      <w:r w:rsidRPr="008E41C6">
        <w:rPr>
          <w:rFonts w:ascii="Times New Roman" w:hAnsi="Times New Roman"/>
          <w:color w:val="auto"/>
          <w:sz w:val="24"/>
          <w:szCs w:val="24"/>
          <w:lang w:val="fr-FR"/>
        </w:rPr>
        <w:t>icaire du Recteur Majeur doi</w:t>
      </w:r>
      <w:r w:rsidR="008E41C6" w:rsidRPr="008E41C6">
        <w:rPr>
          <w:rFonts w:ascii="Times New Roman" w:hAnsi="Times New Roman"/>
          <w:color w:val="auto"/>
          <w:sz w:val="24"/>
          <w:szCs w:val="24"/>
          <w:lang w:val="fr-FR"/>
        </w:rPr>
        <w:t>ve</w:t>
      </w:r>
      <w:r w:rsidRPr="008E41C6">
        <w:rPr>
          <w:rFonts w:ascii="Times New Roman" w:hAnsi="Times New Roman"/>
          <w:color w:val="auto"/>
          <w:sz w:val="24"/>
          <w:szCs w:val="24"/>
          <w:lang w:val="fr-FR"/>
        </w:rPr>
        <w:t xml:space="preserve"> être immédiatement informé</w:t>
      </w:r>
      <w:r w:rsidR="00652590" w:rsidRPr="008E41C6">
        <w:rPr>
          <w:rFonts w:ascii="Times New Roman" w:hAnsi="Times New Roman"/>
          <w:color w:val="auto"/>
          <w:sz w:val="24"/>
          <w:szCs w:val="24"/>
          <w:lang w:val="fr-FR"/>
        </w:rPr>
        <w:t>.</w:t>
      </w:r>
      <w:r w:rsidR="00652590">
        <w:rPr>
          <w:rFonts w:ascii="Times New Roman" w:hAnsi="Times New Roman"/>
          <w:sz w:val="24"/>
          <w:szCs w:val="24"/>
          <w:lang w:val="fr-FR"/>
        </w:rPr>
        <w:t xml:space="preserve"> </w:t>
      </w:r>
      <w:r w:rsidR="00652590" w:rsidRPr="00652590">
        <w:rPr>
          <w:rFonts w:ascii="Times New Roman" w:hAnsi="Times New Roman"/>
          <w:sz w:val="24"/>
          <w:szCs w:val="24"/>
          <w:lang w:val="fr-FR"/>
        </w:rPr>
        <w:t xml:space="preserve">Le jugement sur ces </w:t>
      </w:r>
      <w:r w:rsidR="007B1BE9" w:rsidRPr="00652590">
        <w:rPr>
          <w:rFonts w:ascii="Times New Roman" w:hAnsi="Times New Roman"/>
          <w:i/>
          <w:iCs/>
          <w:sz w:val="24"/>
          <w:szCs w:val="24"/>
          <w:lang w:val="fr-FR"/>
        </w:rPr>
        <w:t>delicta</w:t>
      </w:r>
      <w:r w:rsidR="007B1BE9" w:rsidRPr="00652590">
        <w:rPr>
          <w:rFonts w:ascii="Times New Roman" w:hAnsi="Times New Roman"/>
          <w:sz w:val="24"/>
          <w:szCs w:val="24"/>
          <w:lang w:val="fr-FR"/>
        </w:rPr>
        <w:t xml:space="preserve"> </w:t>
      </w:r>
      <w:r w:rsidR="00652590" w:rsidRPr="00652590">
        <w:rPr>
          <w:rFonts w:ascii="Times New Roman" w:hAnsi="Times New Roman"/>
          <w:sz w:val="24"/>
          <w:szCs w:val="24"/>
          <w:lang w:val="fr-FR"/>
        </w:rPr>
        <w:t xml:space="preserve">est réservé à la </w:t>
      </w:r>
      <w:r w:rsidR="008E41C6">
        <w:rPr>
          <w:rFonts w:ascii="Times New Roman" w:hAnsi="Times New Roman"/>
          <w:sz w:val="24"/>
          <w:szCs w:val="24"/>
          <w:lang w:val="fr-FR"/>
        </w:rPr>
        <w:t>C</w:t>
      </w:r>
      <w:r w:rsidR="00652590" w:rsidRPr="00652590">
        <w:rPr>
          <w:rFonts w:ascii="Times New Roman" w:hAnsi="Times New Roman"/>
          <w:sz w:val="24"/>
          <w:szCs w:val="24"/>
          <w:lang w:val="fr-FR"/>
        </w:rPr>
        <w:t xml:space="preserve">ongrégation pour la </w:t>
      </w:r>
      <w:r w:rsidR="008E41C6">
        <w:rPr>
          <w:rFonts w:ascii="Times New Roman" w:hAnsi="Times New Roman"/>
          <w:sz w:val="24"/>
          <w:szCs w:val="24"/>
          <w:lang w:val="fr-FR"/>
        </w:rPr>
        <w:t>D</w:t>
      </w:r>
      <w:r w:rsidR="00652590" w:rsidRPr="00652590">
        <w:rPr>
          <w:rFonts w:ascii="Times New Roman" w:hAnsi="Times New Roman"/>
          <w:sz w:val="24"/>
          <w:szCs w:val="24"/>
          <w:lang w:val="fr-FR"/>
        </w:rPr>
        <w:t xml:space="preserve">octrine de la </w:t>
      </w:r>
      <w:r w:rsidR="008E41C6" w:rsidRPr="00C00853">
        <w:rPr>
          <w:rFonts w:ascii="Times New Roman" w:hAnsi="Times New Roman"/>
          <w:color w:val="auto"/>
          <w:sz w:val="24"/>
          <w:szCs w:val="24"/>
          <w:lang w:val="fr-FR"/>
        </w:rPr>
        <w:t>F</w:t>
      </w:r>
      <w:r w:rsidR="00652590" w:rsidRPr="00C00853">
        <w:rPr>
          <w:rFonts w:ascii="Times New Roman" w:hAnsi="Times New Roman"/>
          <w:color w:val="auto"/>
          <w:sz w:val="24"/>
          <w:szCs w:val="24"/>
          <w:lang w:val="fr-FR"/>
        </w:rPr>
        <w:t>oi</w:t>
      </w:r>
      <w:r w:rsidR="007B1BE9" w:rsidRPr="00C00853">
        <w:rPr>
          <w:rFonts w:ascii="Times New Roman" w:hAnsi="Times New Roman"/>
          <w:color w:val="auto"/>
          <w:sz w:val="24"/>
          <w:szCs w:val="24"/>
          <w:lang w:val="fr-FR"/>
        </w:rPr>
        <w:t xml:space="preserve">. </w:t>
      </w:r>
      <w:r w:rsidR="00652590" w:rsidRPr="00C00853">
        <w:rPr>
          <w:rFonts w:ascii="Times New Roman" w:hAnsi="Times New Roman"/>
          <w:color w:val="auto"/>
          <w:sz w:val="24"/>
          <w:szCs w:val="24"/>
          <w:lang w:val="fr-FR"/>
        </w:rPr>
        <w:t xml:space="preserve">Dans ces cas-là, le </w:t>
      </w:r>
      <w:r w:rsidR="008E41C6" w:rsidRPr="00C00853">
        <w:rPr>
          <w:rFonts w:ascii="Times New Roman" w:hAnsi="Times New Roman"/>
          <w:color w:val="auto"/>
          <w:sz w:val="24"/>
          <w:szCs w:val="24"/>
          <w:lang w:val="fr-FR"/>
        </w:rPr>
        <w:t>P</w:t>
      </w:r>
      <w:r w:rsidR="00652590" w:rsidRPr="00C00853">
        <w:rPr>
          <w:rFonts w:ascii="Times New Roman" w:hAnsi="Times New Roman"/>
          <w:color w:val="auto"/>
          <w:sz w:val="24"/>
          <w:szCs w:val="24"/>
          <w:lang w:val="fr-FR"/>
        </w:rPr>
        <w:t xml:space="preserve">rovincial et le </w:t>
      </w:r>
      <w:r w:rsidR="008E41C6" w:rsidRPr="00C00853">
        <w:rPr>
          <w:rFonts w:ascii="Times New Roman" w:hAnsi="Times New Roman"/>
          <w:color w:val="auto"/>
          <w:sz w:val="24"/>
          <w:szCs w:val="24"/>
          <w:lang w:val="fr-FR"/>
        </w:rPr>
        <w:t>C</w:t>
      </w:r>
      <w:r w:rsidR="00652590" w:rsidRPr="00C00853">
        <w:rPr>
          <w:rFonts w:ascii="Times New Roman" w:hAnsi="Times New Roman"/>
          <w:color w:val="auto"/>
          <w:sz w:val="24"/>
          <w:szCs w:val="24"/>
          <w:lang w:val="fr-FR"/>
        </w:rPr>
        <w:t xml:space="preserve">onseil </w:t>
      </w:r>
      <w:r w:rsidR="008E41C6" w:rsidRPr="00C00853">
        <w:rPr>
          <w:rFonts w:ascii="Times New Roman" w:hAnsi="Times New Roman"/>
          <w:color w:val="auto"/>
          <w:sz w:val="24"/>
          <w:szCs w:val="24"/>
          <w:lang w:val="fr-FR"/>
        </w:rPr>
        <w:t>P</w:t>
      </w:r>
      <w:r w:rsidR="00652590" w:rsidRPr="00C00853">
        <w:rPr>
          <w:rFonts w:ascii="Times New Roman" w:hAnsi="Times New Roman"/>
          <w:color w:val="auto"/>
          <w:sz w:val="24"/>
          <w:szCs w:val="24"/>
          <w:lang w:val="fr-FR"/>
        </w:rPr>
        <w:t>rovincial émettent seulement un avis mais n’infligent aucune peine</w:t>
      </w:r>
      <w:r w:rsidR="007B1BE9" w:rsidRPr="00C00853">
        <w:rPr>
          <w:rFonts w:ascii="Times New Roman" w:hAnsi="Times New Roman"/>
          <w:color w:val="auto"/>
          <w:sz w:val="24"/>
          <w:szCs w:val="24"/>
          <w:lang w:val="fr-FR"/>
        </w:rPr>
        <w:t xml:space="preserve">. </w:t>
      </w:r>
      <w:r w:rsidR="00652590" w:rsidRPr="00C00853">
        <w:rPr>
          <w:rFonts w:ascii="Times New Roman" w:hAnsi="Times New Roman"/>
          <w:color w:val="auto"/>
          <w:sz w:val="24"/>
          <w:szCs w:val="24"/>
          <w:lang w:val="fr-FR"/>
        </w:rPr>
        <w:t xml:space="preserve">En effet, si à la suite de l’enquête les accusations apparaissent </w:t>
      </w:r>
      <w:r w:rsidR="008E41C6" w:rsidRPr="00C00853">
        <w:rPr>
          <w:rFonts w:ascii="Times New Roman" w:hAnsi="Times New Roman"/>
          <w:color w:val="auto"/>
          <w:sz w:val="24"/>
          <w:szCs w:val="24"/>
          <w:lang w:val="fr-FR"/>
        </w:rPr>
        <w:t>vraisemblables</w:t>
      </w:r>
      <w:r w:rsidR="00652590" w:rsidRPr="00C00853">
        <w:rPr>
          <w:rFonts w:ascii="Times New Roman" w:hAnsi="Times New Roman"/>
          <w:color w:val="auto"/>
          <w:sz w:val="24"/>
          <w:szCs w:val="24"/>
          <w:lang w:val="fr-FR"/>
        </w:rPr>
        <w:t xml:space="preserve">, le cas doit être transmis à la </w:t>
      </w:r>
      <w:r w:rsidR="00C00853" w:rsidRPr="00C00853">
        <w:rPr>
          <w:rFonts w:ascii="Times New Roman" w:hAnsi="Times New Roman"/>
          <w:color w:val="auto"/>
          <w:sz w:val="24"/>
          <w:szCs w:val="24"/>
          <w:lang w:val="fr-FR"/>
        </w:rPr>
        <w:t>C</w:t>
      </w:r>
      <w:r w:rsidR="00652590" w:rsidRPr="00C00853">
        <w:rPr>
          <w:rFonts w:ascii="Times New Roman" w:hAnsi="Times New Roman"/>
          <w:color w:val="auto"/>
          <w:sz w:val="24"/>
          <w:szCs w:val="24"/>
          <w:lang w:val="fr-FR"/>
        </w:rPr>
        <w:t xml:space="preserve">ongrégation pour la </w:t>
      </w:r>
      <w:r w:rsidR="00C00853" w:rsidRPr="00C00853">
        <w:rPr>
          <w:rFonts w:ascii="Times New Roman" w:hAnsi="Times New Roman"/>
          <w:color w:val="auto"/>
          <w:sz w:val="24"/>
          <w:szCs w:val="24"/>
          <w:lang w:val="fr-FR"/>
        </w:rPr>
        <w:t>D</w:t>
      </w:r>
      <w:r w:rsidR="00652590" w:rsidRPr="00C00853">
        <w:rPr>
          <w:rFonts w:ascii="Times New Roman" w:hAnsi="Times New Roman"/>
          <w:color w:val="auto"/>
          <w:sz w:val="24"/>
          <w:szCs w:val="24"/>
          <w:lang w:val="fr-FR"/>
        </w:rPr>
        <w:t xml:space="preserve">octrine de la </w:t>
      </w:r>
      <w:r w:rsidR="00C00853" w:rsidRPr="00C00853">
        <w:rPr>
          <w:rFonts w:ascii="Times New Roman" w:hAnsi="Times New Roman"/>
          <w:color w:val="auto"/>
          <w:sz w:val="24"/>
          <w:szCs w:val="24"/>
          <w:lang w:val="fr-FR"/>
        </w:rPr>
        <w:t>F</w:t>
      </w:r>
      <w:r w:rsidR="00652590" w:rsidRPr="00C00853">
        <w:rPr>
          <w:rFonts w:ascii="Times New Roman" w:hAnsi="Times New Roman"/>
          <w:color w:val="auto"/>
          <w:sz w:val="24"/>
          <w:szCs w:val="24"/>
          <w:lang w:val="fr-FR"/>
        </w:rPr>
        <w:t>oi par l’entremise du Recteur Majeur.</w:t>
      </w:r>
      <w:r w:rsidR="00652590">
        <w:rPr>
          <w:rFonts w:ascii="Times New Roman" w:hAnsi="Times New Roman"/>
          <w:color w:val="FF0000"/>
          <w:sz w:val="24"/>
          <w:szCs w:val="24"/>
          <w:lang w:val="fr-FR"/>
        </w:rPr>
        <w:t xml:space="preserve"> </w:t>
      </w:r>
    </w:p>
    <w:sectPr w:rsidR="001C6C60" w:rsidRPr="00652590" w:rsidSect="001C6C6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E1" w:rsidRDefault="00963EE1" w:rsidP="001C6C60">
      <w:r>
        <w:separator/>
      </w:r>
    </w:p>
  </w:endnote>
  <w:endnote w:type="continuationSeparator" w:id="0">
    <w:p w:rsidR="00963EE1" w:rsidRDefault="00963EE1" w:rsidP="001C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E1" w:rsidRDefault="00963EE1">
      <w:r>
        <w:separator/>
      </w:r>
    </w:p>
  </w:footnote>
  <w:footnote w:type="continuationSeparator" w:id="0">
    <w:p w:rsidR="00963EE1" w:rsidRDefault="00963EE1">
      <w:r>
        <w:continuationSeparator/>
      </w:r>
    </w:p>
  </w:footnote>
  <w:footnote w:type="continuationNotice" w:id="1">
    <w:p w:rsidR="00963EE1" w:rsidRDefault="00963EE1"/>
  </w:footnote>
  <w:footnote w:id="2">
    <w:p w:rsidR="006C52AE" w:rsidRPr="00034BFD" w:rsidRDefault="007B1BE9" w:rsidP="004E7A88">
      <w:pPr>
        <w:pStyle w:val="Notaapidipagina"/>
        <w:jc w:val="both"/>
        <w:rPr>
          <w:rFonts w:ascii="Times New Roman" w:hAnsi="Times New Roman"/>
          <w:color w:val="auto"/>
          <w:sz w:val="20"/>
          <w:szCs w:val="20"/>
          <w:u w:color="000000"/>
          <w:lang w:val="fr-FR"/>
        </w:rPr>
      </w:pPr>
      <w:r w:rsidRPr="00034BFD">
        <w:rPr>
          <w:rFonts w:ascii="Times New Roman" w:eastAsia="Times New Roman" w:hAnsi="Times New Roman" w:cs="Times New Roman"/>
          <w:b/>
          <w:bCs/>
          <w:color w:val="auto"/>
          <w:sz w:val="20"/>
          <w:szCs w:val="20"/>
          <w:u w:color="000000"/>
          <w:vertAlign w:val="superscript"/>
          <w:lang w:val="fr-FR"/>
        </w:rPr>
        <w:footnoteRef/>
      </w:r>
      <w:r w:rsidRPr="00034BFD">
        <w:rPr>
          <w:rFonts w:ascii="Times New Roman" w:hAnsi="Times New Roman"/>
          <w:color w:val="auto"/>
          <w:sz w:val="20"/>
          <w:szCs w:val="20"/>
          <w:u w:color="000000"/>
          <w:lang w:val="fr-FR"/>
        </w:rPr>
        <w:t xml:space="preserve"> </w:t>
      </w:r>
      <w:r w:rsidR="006C52AE" w:rsidRPr="00034BFD">
        <w:rPr>
          <w:rFonts w:ascii="Times New Roman" w:hAnsi="Times New Roman"/>
          <w:color w:val="auto"/>
          <w:sz w:val="20"/>
          <w:szCs w:val="20"/>
          <w:u w:color="000000"/>
          <w:lang w:val="fr-FR"/>
        </w:rPr>
        <w:t xml:space="preserve">Sur la base du canon 1321 </w:t>
      </w:r>
      <w:r w:rsidRPr="00034BFD">
        <w:rPr>
          <w:rFonts w:ascii="Times New Roman" w:hAnsi="Times New Roman"/>
          <w:color w:val="auto"/>
          <w:sz w:val="20"/>
          <w:szCs w:val="20"/>
          <w:u w:color="000000"/>
          <w:lang w:val="fr-FR"/>
        </w:rPr>
        <w:t xml:space="preserve">§1 CIC, </w:t>
      </w:r>
      <w:r w:rsidR="006C52AE" w:rsidRPr="00034BFD">
        <w:rPr>
          <w:rFonts w:ascii="Times New Roman" w:hAnsi="Times New Roman"/>
          <w:color w:val="auto"/>
          <w:sz w:val="20"/>
          <w:szCs w:val="20"/>
          <w:u w:color="000000"/>
          <w:lang w:val="fr-FR"/>
        </w:rPr>
        <w:t xml:space="preserve">par le terme « délit », on entend la violation externe d'une loi canonique ou d'un précepte pour lesquels est prévue une peine gravement imputable du fait de son dol ou de sa faute. Le </w:t>
      </w:r>
      <w:r w:rsidR="00034BFD" w:rsidRPr="00034BFD">
        <w:rPr>
          <w:rFonts w:ascii="Times New Roman" w:hAnsi="Times New Roman"/>
          <w:color w:val="auto"/>
          <w:sz w:val="20"/>
          <w:szCs w:val="20"/>
          <w:u w:color="000000"/>
          <w:lang w:val="fr-FR"/>
        </w:rPr>
        <w:t>C</w:t>
      </w:r>
      <w:r w:rsidR="006C52AE" w:rsidRPr="00034BFD">
        <w:rPr>
          <w:rFonts w:ascii="Times New Roman" w:hAnsi="Times New Roman"/>
          <w:color w:val="auto"/>
          <w:sz w:val="20"/>
          <w:szCs w:val="20"/>
          <w:u w:color="000000"/>
          <w:lang w:val="fr-FR"/>
        </w:rPr>
        <w:t xml:space="preserve">ode de </w:t>
      </w:r>
      <w:r w:rsidR="00034BFD" w:rsidRPr="00034BFD">
        <w:rPr>
          <w:rFonts w:ascii="Times New Roman" w:hAnsi="Times New Roman"/>
          <w:color w:val="auto"/>
          <w:sz w:val="20"/>
          <w:szCs w:val="20"/>
          <w:u w:color="000000"/>
          <w:lang w:val="fr-FR"/>
        </w:rPr>
        <w:t>D</w:t>
      </w:r>
      <w:r w:rsidR="006C52AE" w:rsidRPr="00034BFD">
        <w:rPr>
          <w:rFonts w:ascii="Times New Roman" w:hAnsi="Times New Roman"/>
          <w:color w:val="auto"/>
          <w:sz w:val="20"/>
          <w:szCs w:val="20"/>
          <w:u w:color="000000"/>
          <w:lang w:val="fr-FR"/>
        </w:rPr>
        <w:t xml:space="preserve">roit </w:t>
      </w:r>
      <w:r w:rsidR="00034BFD" w:rsidRPr="00034BFD">
        <w:rPr>
          <w:rFonts w:ascii="Times New Roman" w:hAnsi="Times New Roman"/>
          <w:color w:val="auto"/>
          <w:sz w:val="20"/>
          <w:szCs w:val="20"/>
          <w:u w:color="000000"/>
          <w:lang w:val="fr-FR"/>
        </w:rPr>
        <w:t>C</w:t>
      </w:r>
      <w:r w:rsidR="006C52AE" w:rsidRPr="00034BFD">
        <w:rPr>
          <w:rFonts w:ascii="Times New Roman" w:hAnsi="Times New Roman"/>
          <w:color w:val="auto"/>
          <w:sz w:val="20"/>
          <w:szCs w:val="20"/>
          <w:u w:color="000000"/>
          <w:lang w:val="fr-FR"/>
        </w:rPr>
        <w:t xml:space="preserve">anonique, dans la deuxième partie du </w:t>
      </w:r>
      <w:r w:rsidR="00034BFD" w:rsidRPr="00034BFD">
        <w:rPr>
          <w:rFonts w:ascii="Times New Roman" w:hAnsi="Times New Roman"/>
          <w:color w:val="auto"/>
          <w:sz w:val="20"/>
          <w:szCs w:val="20"/>
          <w:u w:color="000000"/>
          <w:lang w:val="fr-FR"/>
        </w:rPr>
        <w:t>L</w:t>
      </w:r>
      <w:r w:rsidR="006C52AE" w:rsidRPr="00034BFD">
        <w:rPr>
          <w:rFonts w:ascii="Times New Roman" w:hAnsi="Times New Roman"/>
          <w:color w:val="auto"/>
          <w:sz w:val="20"/>
          <w:szCs w:val="20"/>
          <w:u w:color="000000"/>
          <w:lang w:val="fr-FR"/>
        </w:rPr>
        <w:t>ivre VI, détermine, en 35 canons</w:t>
      </w:r>
      <w:r w:rsidR="00034BFD" w:rsidRPr="00034BFD">
        <w:rPr>
          <w:rFonts w:ascii="Times New Roman" w:hAnsi="Times New Roman"/>
          <w:color w:val="auto"/>
          <w:sz w:val="20"/>
          <w:szCs w:val="20"/>
          <w:u w:color="000000"/>
          <w:lang w:val="fr-FR"/>
        </w:rPr>
        <w:t>, les conduites considérées délictueuses et les sanctions pénales qui s'y rapportent : canons 1364-1398. Il faut aussi tenir compte de la Norme Générale du canon 1399, qui stipule que même la violation d'une loi divine ou canonique non assortie de peine peut être punie d'une juste peine mais « seulement lorsque la gravité spéciale de la violation réclame une punition, et qu'il y a nécessité pressante de prévenir ou de réparer des scandales. »</w:t>
      </w:r>
    </w:p>
    <w:p w:rsidR="001C6C60" w:rsidRPr="006C52AE" w:rsidRDefault="001C6C60" w:rsidP="004E7A88">
      <w:pPr>
        <w:pStyle w:val="Notaapidipagina"/>
        <w:jc w:val="both"/>
        <w:rPr>
          <w:sz w:val="20"/>
          <w:szCs w:val="20"/>
          <w:lang w:val="fr-FR"/>
        </w:rPr>
      </w:pPr>
    </w:p>
  </w:footnote>
  <w:footnote w:id="3">
    <w:p w:rsidR="001C6C60" w:rsidRPr="00652590" w:rsidRDefault="007B1BE9" w:rsidP="008C102C">
      <w:pPr>
        <w:pStyle w:val="NotaapidipaginaA"/>
        <w:jc w:val="both"/>
        <w:rPr>
          <w:rFonts w:ascii="Times New Roman" w:hAnsi="Times New Roman"/>
          <w:sz w:val="20"/>
          <w:szCs w:val="20"/>
          <w:lang w:val="fr-FR"/>
        </w:rPr>
      </w:pPr>
      <w:r w:rsidRPr="00084540">
        <w:rPr>
          <w:rFonts w:ascii="Times New Roman" w:eastAsia="Times New Roman" w:hAnsi="Times New Roman" w:cs="Times New Roman"/>
          <w:iCs/>
          <w:sz w:val="20"/>
          <w:szCs w:val="20"/>
          <w:vertAlign w:val="superscript"/>
        </w:rPr>
        <w:footnoteRef/>
      </w:r>
      <w:r w:rsidRPr="00084540">
        <w:rPr>
          <w:rFonts w:ascii="Times New Roman" w:hAnsi="Times New Roman"/>
          <w:sz w:val="20"/>
          <w:szCs w:val="20"/>
          <w:lang w:val="fr-FR"/>
        </w:rPr>
        <w:t xml:space="preserve"> </w:t>
      </w:r>
      <w:r w:rsidR="00652590" w:rsidRPr="00652590">
        <w:rPr>
          <w:rFonts w:ascii="Times New Roman" w:hAnsi="Times New Roman"/>
          <w:sz w:val="20"/>
          <w:szCs w:val="20"/>
          <w:lang w:val="fr-FR"/>
        </w:rPr>
        <w:t>Les</w:t>
      </w:r>
      <w:r w:rsidRPr="00652590">
        <w:rPr>
          <w:rFonts w:ascii="Times New Roman" w:hAnsi="Times New Roman"/>
          <w:sz w:val="20"/>
          <w:szCs w:val="20"/>
          <w:lang w:val="fr-FR"/>
        </w:rPr>
        <w:t xml:space="preserve"> </w:t>
      </w:r>
      <w:r w:rsidRPr="00652590">
        <w:rPr>
          <w:rFonts w:ascii="Times New Roman" w:hAnsi="Times New Roman"/>
          <w:i/>
          <w:iCs/>
          <w:sz w:val="20"/>
          <w:szCs w:val="20"/>
          <w:lang w:val="fr-FR"/>
        </w:rPr>
        <w:t>delicta graviora</w:t>
      </w:r>
      <w:r w:rsidRPr="00652590">
        <w:rPr>
          <w:rFonts w:ascii="Times New Roman" w:hAnsi="Times New Roman"/>
          <w:sz w:val="20"/>
          <w:szCs w:val="20"/>
          <w:lang w:val="fr-FR"/>
        </w:rPr>
        <w:t xml:space="preserve"> son</w:t>
      </w:r>
      <w:r w:rsidR="00652590" w:rsidRPr="00652590">
        <w:rPr>
          <w:rFonts w:ascii="Times New Roman" w:hAnsi="Times New Roman"/>
          <w:sz w:val="20"/>
          <w:szCs w:val="20"/>
          <w:lang w:val="fr-FR"/>
        </w:rPr>
        <w:t>t</w:t>
      </w:r>
      <w:r w:rsidRPr="00652590">
        <w:rPr>
          <w:rFonts w:ascii="Times New Roman" w:hAnsi="Times New Roman"/>
          <w:sz w:val="20"/>
          <w:szCs w:val="20"/>
          <w:lang w:val="fr-FR"/>
        </w:rPr>
        <w:t xml:space="preserve"> </w:t>
      </w:r>
      <w:r w:rsidR="00652590" w:rsidRPr="00652590">
        <w:rPr>
          <w:rFonts w:ascii="Times New Roman" w:hAnsi="Times New Roman"/>
          <w:sz w:val="20"/>
          <w:szCs w:val="20"/>
          <w:lang w:val="fr-FR"/>
        </w:rPr>
        <w:t>les délits les plus grave</w:t>
      </w:r>
      <w:r w:rsidR="00652590">
        <w:rPr>
          <w:rFonts w:ascii="Times New Roman" w:hAnsi="Times New Roman"/>
          <w:sz w:val="20"/>
          <w:szCs w:val="20"/>
          <w:lang w:val="fr-FR"/>
        </w:rPr>
        <w:t xml:space="preserve">s commis contre les mœurs. </w:t>
      </w:r>
      <w:r w:rsidR="00652590" w:rsidRPr="00652590">
        <w:rPr>
          <w:rFonts w:ascii="Times New Roman" w:hAnsi="Times New Roman"/>
          <w:sz w:val="20"/>
          <w:szCs w:val="20"/>
          <w:lang w:val="fr-FR"/>
        </w:rPr>
        <w:t xml:space="preserve">Ils </w:t>
      </w:r>
      <w:r w:rsidR="00165526">
        <w:rPr>
          <w:rFonts w:ascii="Times New Roman" w:hAnsi="Times New Roman"/>
          <w:sz w:val="20"/>
          <w:szCs w:val="20"/>
          <w:lang w:val="fr-FR"/>
        </w:rPr>
        <w:t>se situent</w:t>
      </w:r>
      <w:r w:rsidR="00652590" w:rsidRPr="00652590">
        <w:rPr>
          <w:rFonts w:ascii="Times New Roman" w:hAnsi="Times New Roman"/>
          <w:sz w:val="20"/>
          <w:szCs w:val="20"/>
          <w:lang w:val="fr-FR"/>
        </w:rPr>
        <w:t xml:space="preserve"> </w:t>
      </w:r>
      <w:r w:rsidR="00526035">
        <w:rPr>
          <w:rFonts w:ascii="Times New Roman" w:hAnsi="Times New Roman"/>
          <w:sz w:val="20"/>
          <w:szCs w:val="20"/>
          <w:lang w:val="fr-FR"/>
        </w:rPr>
        <w:t>parmi</w:t>
      </w:r>
      <w:bookmarkStart w:id="0" w:name="_GoBack"/>
      <w:bookmarkEnd w:id="0"/>
      <w:r w:rsidR="00652590" w:rsidRPr="00652590">
        <w:rPr>
          <w:rFonts w:ascii="Times New Roman" w:hAnsi="Times New Roman"/>
          <w:sz w:val="20"/>
          <w:szCs w:val="20"/>
          <w:lang w:val="fr-FR"/>
        </w:rPr>
        <w:t xml:space="preserve"> les </w:t>
      </w:r>
      <w:r w:rsidRPr="00652590">
        <w:rPr>
          <w:rFonts w:ascii="Times New Roman" w:hAnsi="Times New Roman"/>
          <w:i/>
          <w:iCs/>
          <w:sz w:val="20"/>
          <w:szCs w:val="20"/>
          <w:lang w:val="fr-FR"/>
        </w:rPr>
        <w:t>delicta reservata</w:t>
      </w:r>
      <w:r w:rsidRPr="00652590">
        <w:rPr>
          <w:rFonts w:ascii="Times New Roman" w:hAnsi="Times New Roman"/>
          <w:sz w:val="20"/>
          <w:szCs w:val="20"/>
          <w:lang w:val="fr-FR"/>
        </w:rPr>
        <w:t xml:space="preserve"> </w:t>
      </w:r>
      <w:r w:rsidR="00652590" w:rsidRPr="00652590">
        <w:rPr>
          <w:rFonts w:ascii="Times New Roman" w:hAnsi="Times New Roman"/>
          <w:sz w:val="20"/>
          <w:szCs w:val="20"/>
          <w:lang w:val="fr-FR"/>
        </w:rPr>
        <w:t>indiqués dans les articl</w:t>
      </w:r>
      <w:r w:rsidR="00652590">
        <w:rPr>
          <w:rFonts w:ascii="Times New Roman" w:hAnsi="Times New Roman"/>
          <w:sz w:val="20"/>
          <w:szCs w:val="20"/>
          <w:lang w:val="fr-FR"/>
        </w:rPr>
        <w:t>e</w:t>
      </w:r>
      <w:r w:rsidR="00652590" w:rsidRPr="00652590">
        <w:rPr>
          <w:rFonts w:ascii="Times New Roman" w:hAnsi="Times New Roman"/>
          <w:sz w:val="20"/>
          <w:szCs w:val="20"/>
          <w:lang w:val="fr-FR"/>
        </w:rPr>
        <w:t>s 1-6 des</w:t>
      </w:r>
      <w:r w:rsidR="00652590">
        <w:rPr>
          <w:rFonts w:ascii="Times New Roman" w:hAnsi="Times New Roman"/>
          <w:sz w:val="20"/>
          <w:szCs w:val="20"/>
          <w:lang w:val="fr-FR"/>
        </w:rPr>
        <w:t xml:space="preserve"> </w:t>
      </w:r>
      <w:r w:rsidRPr="00652590">
        <w:rPr>
          <w:rFonts w:ascii="Times New Roman" w:hAnsi="Times New Roman"/>
          <w:i/>
          <w:iCs/>
          <w:sz w:val="20"/>
          <w:szCs w:val="20"/>
          <w:lang w:val="fr-FR"/>
        </w:rPr>
        <w:t>Normae de delictis Congregationi pro Doctrina Fidei reservatis</w:t>
      </w:r>
      <w:r w:rsidR="00652590">
        <w:rPr>
          <w:rFonts w:ascii="Times New Roman" w:hAnsi="Times New Roman"/>
          <w:sz w:val="20"/>
          <w:szCs w:val="20"/>
          <w:lang w:val="fr-FR"/>
        </w:rPr>
        <w:t xml:space="preserve"> émanant de la Congrégation pour la Doctrine de la Foi, en date du 21 mai 2010.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2"/>
  </w:compat>
  <w:docVars>
    <w:docVar w:name="dgnword-docGUID" w:val="{B23F627C-0AC7-43F7-AE58-B1DB00D1970C}"/>
    <w:docVar w:name="dgnword-eventsink" w:val="262369176"/>
  </w:docVars>
  <w:rsids>
    <w:rsidRoot w:val="001C6C60"/>
    <w:rsid w:val="00034BFD"/>
    <w:rsid w:val="00084540"/>
    <w:rsid w:val="000F6343"/>
    <w:rsid w:val="00165526"/>
    <w:rsid w:val="00197672"/>
    <w:rsid w:val="001C6C60"/>
    <w:rsid w:val="00214C47"/>
    <w:rsid w:val="00244167"/>
    <w:rsid w:val="003A42F1"/>
    <w:rsid w:val="003B3E9A"/>
    <w:rsid w:val="004550B0"/>
    <w:rsid w:val="004760A1"/>
    <w:rsid w:val="004A56BB"/>
    <w:rsid w:val="004E7A88"/>
    <w:rsid w:val="00526035"/>
    <w:rsid w:val="00545545"/>
    <w:rsid w:val="00595CBA"/>
    <w:rsid w:val="00652590"/>
    <w:rsid w:val="006C52AE"/>
    <w:rsid w:val="007B1BE9"/>
    <w:rsid w:val="0086514F"/>
    <w:rsid w:val="008C102C"/>
    <w:rsid w:val="008C2A29"/>
    <w:rsid w:val="008D51CE"/>
    <w:rsid w:val="008E41C6"/>
    <w:rsid w:val="008F47C8"/>
    <w:rsid w:val="00904E71"/>
    <w:rsid w:val="00926B63"/>
    <w:rsid w:val="00943D35"/>
    <w:rsid w:val="00954FB0"/>
    <w:rsid w:val="00963EE1"/>
    <w:rsid w:val="00B04786"/>
    <w:rsid w:val="00C00853"/>
    <w:rsid w:val="00C67A4B"/>
    <w:rsid w:val="00C914D1"/>
    <w:rsid w:val="00DB1130"/>
    <w:rsid w:val="00E25716"/>
    <w:rsid w:val="00E60336"/>
    <w:rsid w:val="00E662FA"/>
    <w:rsid w:val="00E714E4"/>
    <w:rsid w:val="00EB19D2"/>
    <w:rsid w:val="00EB329F"/>
    <w:rsid w:val="00ED506B"/>
    <w:rsid w:val="00ED598E"/>
    <w:rsid w:val="00F1729B"/>
    <w:rsid w:val="00F67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A238F-A058-4064-9C5C-63D33094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C6C60"/>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C6C60"/>
    <w:rPr>
      <w:u w:val="single"/>
    </w:rPr>
  </w:style>
  <w:style w:type="table" w:customStyle="1" w:styleId="TableNormal">
    <w:name w:val="Table Normal"/>
    <w:rsid w:val="001C6C60"/>
    <w:tblPr>
      <w:tblInd w:w="0" w:type="dxa"/>
      <w:tblCellMar>
        <w:top w:w="0" w:type="dxa"/>
        <w:left w:w="0" w:type="dxa"/>
        <w:bottom w:w="0" w:type="dxa"/>
        <w:right w:w="0" w:type="dxa"/>
      </w:tblCellMar>
    </w:tblPr>
  </w:style>
  <w:style w:type="paragraph" w:customStyle="1" w:styleId="Intestazioneepidipagina">
    <w:name w:val="Intestazione e piè di pagina"/>
    <w:rsid w:val="001C6C60"/>
    <w:pPr>
      <w:tabs>
        <w:tab w:val="right" w:pos="9020"/>
      </w:tabs>
    </w:pPr>
    <w:rPr>
      <w:rFonts w:ascii="Helvetica" w:hAnsi="Helvetica" w:cs="Arial Unicode MS"/>
      <w:color w:val="000000"/>
      <w:sz w:val="24"/>
      <w:szCs w:val="24"/>
    </w:rPr>
  </w:style>
  <w:style w:type="paragraph" w:customStyle="1" w:styleId="Didefault">
    <w:name w:val="Di default"/>
    <w:rsid w:val="001C6C60"/>
    <w:rPr>
      <w:rFonts w:ascii="Helvetica" w:hAnsi="Helvetica" w:cs="Arial Unicode MS"/>
      <w:color w:val="000000"/>
      <w:sz w:val="22"/>
      <w:szCs w:val="22"/>
    </w:rPr>
  </w:style>
  <w:style w:type="paragraph" w:customStyle="1" w:styleId="Notaapidipagina">
    <w:name w:val="Nota a piè di pagina"/>
    <w:rsid w:val="001C6C60"/>
    <w:rPr>
      <w:rFonts w:ascii="Helvetica" w:eastAsia="Helvetica" w:hAnsi="Helvetica" w:cs="Helvetica"/>
      <w:color w:val="000000"/>
      <w:sz w:val="22"/>
      <w:szCs w:val="22"/>
    </w:rPr>
  </w:style>
  <w:style w:type="paragraph" w:customStyle="1" w:styleId="CorpoA">
    <w:name w:val="Corpo A"/>
    <w:rsid w:val="001C6C60"/>
    <w:rPr>
      <w:rFonts w:ascii="Helvetica" w:hAnsi="Helvetica" w:cs="Arial Unicode MS"/>
      <w:color w:val="000000"/>
      <w:sz w:val="22"/>
      <w:szCs w:val="22"/>
      <w:u w:color="000000"/>
    </w:rPr>
  </w:style>
  <w:style w:type="paragraph" w:customStyle="1" w:styleId="DidefaultA">
    <w:name w:val="Di default A"/>
    <w:rsid w:val="001C6C60"/>
    <w:rPr>
      <w:rFonts w:ascii="Helvetica" w:hAnsi="Helvetica" w:cs="Arial Unicode MS"/>
      <w:color w:val="000000"/>
      <w:sz w:val="22"/>
      <w:szCs w:val="22"/>
      <w:u w:color="000000"/>
    </w:rPr>
  </w:style>
  <w:style w:type="paragraph" w:customStyle="1" w:styleId="NotaapidipaginaA">
    <w:name w:val="Nota a piè di pagina A"/>
    <w:rsid w:val="001C6C60"/>
    <w:rPr>
      <w:rFonts w:ascii="Helvetica" w:eastAsia="Helvetica" w:hAnsi="Helvetica" w:cs="Helvetica"/>
      <w:color w:val="000000"/>
      <w:sz w:val="22"/>
      <w:szCs w:val="22"/>
      <w:u w:color="000000"/>
    </w:rPr>
  </w:style>
  <w:style w:type="paragraph" w:styleId="Testofumetto">
    <w:name w:val="Balloon Text"/>
    <w:basedOn w:val="Normale"/>
    <w:link w:val="TestofumettoCarattere"/>
    <w:uiPriority w:val="99"/>
    <w:semiHidden/>
    <w:unhideWhenUsed/>
    <w:rsid w:val="0008454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4540"/>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68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E30CC-F0DF-4C07-AC4F-C08E9D04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Placide Carava</cp:lastModifiedBy>
  <cp:revision>26</cp:revision>
  <cp:lastPrinted>2017-06-02T09:42:00Z</cp:lastPrinted>
  <dcterms:created xsi:type="dcterms:W3CDTF">2017-06-01T05:04:00Z</dcterms:created>
  <dcterms:modified xsi:type="dcterms:W3CDTF">2017-06-02T09:54:00Z</dcterms:modified>
</cp:coreProperties>
</file>